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AC" w:rsidRDefault="00FB05AC">
      <w:pPr>
        <w:jc w:val="center"/>
        <w:rPr>
          <w:rFonts w:ascii="Times New Roman" w:eastAsia="宋体" w:hAnsi="Times New Roman" w:cs="Times New Roman"/>
          <w:sz w:val="48"/>
          <w:szCs w:val="24"/>
        </w:rPr>
      </w:pPr>
    </w:p>
    <w:p w:rsidR="00FB05AC" w:rsidRDefault="00FB05AC">
      <w:pPr>
        <w:jc w:val="center"/>
        <w:rPr>
          <w:rFonts w:ascii="Times New Roman" w:eastAsia="宋体" w:hAnsi="Times New Roman" w:cs="Times New Roman"/>
          <w:sz w:val="48"/>
          <w:szCs w:val="24"/>
        </w:rPr>
      </w:pPr>
    </w:p>
    <w:p w:rsidR="00FB05AC" w:rsidRDefault="00FB05AC">
      <w:pPr>
        <w:jc w:val="center"/>
        <w:rPr>
          <w:rFonts w:ascii="Times New Roman" w:eastAsia="宋体" w:hAnsi="Times New Roman" w:cs="Times New Roman"/>
          <w:sz w:val="48"/>
          <w:szCs w:val="24"/>
        </w:rPr>
      </w:pPr>
    </w:p>
    <w:p w:rsidR="00FB05AC" w:rsidRDefault="00C73691">
      <w:pPr>
        <w:wordWrap w:val="0"/>
        <w:spacing w:line="400" w:lineRule="exact"/>
        <w:ind w:firstLineChars="200" w:firstLine="960"/>
        <w:jc w:val="right"/>
        <w:rPr>
          <w:rFonts w:ascii="Times New Roman" w:eastAsia="黑体" w:hAnsi="Times New Roman" w:cs="Times New Roman"/>
          <w:bCs/>
          <w:spacing w:val="60"/>
          <w:kern w:val="10"/>
          <w:sz w:val="36"/>
          <w:szCs w:val="24"/>
        </w:rPr>
      </w:pPr>
      <w:r>
        <w:rPr>
          <w:rFonts w:ascii="Times New Roman" w:eastAsia="黑体" w:hAnsi="Times New Roman" w:cs="Times New Roman" w:hint="eastAsia"/>
          <w:bCs/>
          <w:spacing w:val="60"/>
          <w:kern w:val="10"/>
          <w:sz w:val="36"/>
          <w:szCs w:val="24"/>
        </w:rPr>
        <w:t xml:space="preserve">            </w:t>
      </w:r>
    </w:p>
    <w:p w:rsidR="00FB05AC" w:rsidRDefault="00C73691">
      <w:pPr>
        <w:jc w:val="center"/>
        <w:rPr>
          <w:rFonts w:ascii="Times New Roman" w:eastAsia="黑体" w:hAnsi="Times New Roman" w:cs="Times New Roman"/>
          <w:bCs/>
          <w:spacing w:val="60"/>
          <w:kern w:val="10"/>
          <w:sz w:val="36"/>
          <w:szCs w:val="24"/>
        </w:rPr>
      </w:pPr>
      <w:r>
        <w:rPr>
          <w:rFonts w:ascii="Times New Roman" w:eastAsia="黑体" w:hAnsi="Times New Roman" w:cs="Times New Roman" w:hint="eastAsia"/>
          <w:bCs/>
          <w:spacing w:val="60"/>
          <w:kern w:val="10"/>
          <w:sz w:val="36"/>
          <w:szCs w:val="24"/>
        </w:rPr>
        <w:t>201</w:t>
      </w:r>
      <w:r>
        <w:rPr>
          <w:rFonts w:ascii="Times New Roman" w:eastAsia="黑体" w:hAnsi="Times New Roman" w:cs="Times New Roman"/>
          <w:bCs/>
          <w:spacing w:val="60"/>
          <w:kern w:val="10"/>
          <w:sz w:val="36"/>
          <w:szCs w:val="24"/>
        </w:rPr>
        <w:t>8</w:t>
      </w:r>
      <w:r>
        <w:rPr>
          <w:rFonts w:ascii="Times New Roman" w:eastAsia="黑体" w:hAnsi="Times New Roman" w:cs="Times New Roman" w:hint="eastAsia"/>
          <w:bCs/>
          <w:spacing w:val="60"/>
          <w:kern w:val="10"/>
          <w:sz w:val="36"/>
          <w:szCs w:val="24"/>
        </w:rPr>
        <w:t>年度成都市哲学社会科学规划项目</w:t>
      </w:r>
    </w:p>
    <w:p w:rsidR="00FB05AC" w:rsidRDefault="00FB05AC">
      <w:pPr>
        <w:jc w:val="center"/>
        <w:rPr>
          <w:rFonts w:ascii="Times New Roman" w:eastAsia="黑体" w:hAnsi="Times New Roman" w:cs="Times New Roman"/>
          <w:bCs/>
          <w:spacing w:val="60"/>
          <w:kern w:val="10"/>
          <w:sz w:val="36"/>
          <w:szCs w:val="24"/>
        </w:rPr>
      </w:pPr>
    </w:p>
    <w:p w:rsidR="00FB05AC" w:rsidRDefault="00FB05AC">
      <w:pPr>
        <w:spacing w:line="400" w:lineRule="exact"/>
        <w:rPr>
          <w:rFonts w:ascii="Times New Roman" w:eastAsia="黑体" w:hAnsi="Times New Roman" w:cs="Times New Roman"/>
          <w:bCs/>
          <w:spacing w:val="28"/>
          <w:kern w:val="10"/>
          <w:sz w:val="32"/>
          <w:szCs w:val="32"/>
        </w:rPr>
      </w:pPr>
    </w:p>
    <w:p w:rsidR="00FB05AC" w:rsidRDefault="00FB05AC">
      <w:pPr>
        <w:jc w:val="center"/>
        <w:rPr>
          <w:rFonts w:ascii="Times New Roman" w:eastAsia="宋体" w:hAnsi="Times New Roman" w:cs="Times New Roman"/>
          <w:sz w:val="48"/>
          <w:szCs w:val="24"/>
        </w:rPr>
      </w:pPr>
    </w:p>
    <w:p w:rsidR="00FB05AC" w:rsidRDefault="00FB05AC">
      <w:pPr>
        <w:jc w:val="center"/>
        <w:rPr>
          <w:rFonts w:ascii="Times New Roman" w:eastAsia="宋体" w:hAnsi="Times New Roman" w:cs="Times New Roman"/>
          <w:sz w:val="48"/>
          <w:szCs w:val="24"/>
        </w:rPr>
      </w:pPr>
    </w:p>
    <w:p w:rsidR="00FB05AC" w:rsidRDefault="00FB05AC">
      <w:pPr>
        <w:jc w:val="center"/>
        <w:rPr>
          <w:rFonts w:ascii="Times New Roman" w:eastAsia="宋体" w:hAnsi="Times New Roman" w:cs="Times New Roman"/>
          <w:sz w:val="48"/>
          <w:szCs w:val="24"/>
        </w:rPr>
      </w:pPr>
    </w:p>
    <w:p w:rsidR="00FB05AC" w:rsidRDefault="00FB05AC">
      <w:pPr>
        <w:jc w:val="center"/>
        <w:rPr>
          <w:rFonts w:ascii="Times New Roman" w:eastAsia="宋体" w:hAnsi="Times New Roman" w:cs="Times New Roman"/>
          <w:sz w:val="48"/>
          <w:szCs w:val="24"/>
        </w:rPr>
      </w:pPr>
    </w:p>
    <w:p w:rsidR="00FB05AC" w:rsidRDefault="00FB05AC">
      <w:pPr>
        <w:jc w:val="center"/>
        <w:rPr>
          <w:rFonts w:ascii="Times New Roman" w:eastAsia="宋体" w:hAnsi="Times New Roman" w:cs="Times New Roman"/>
          <w:sz w:val="48"/>
          <w:szCs w:val="24"/>
        </w:rPr>
      </w:pPr>
    </w:p>
    <w:p w:rsidR="00FB05AC" w:rsidRDefault="00C73691">
      <w:pPr>
        <w:jc w:val="center"/>
        <w:rPr>
          <w:rFonts w:ascii="黑体" w:eastAsia="黑体" w:hAnsi="Times New Roman" w:cs="Times New Roman"/>
          <w:bCs/>
          <w:spacing w:val="60"/>
          <w:sz w:val="72"/>
          <w:szCs w:val="24"/>
        </w:rPr>
      </w:pPr>
      <w:r>
        <w:rPr>
          <w:rFonts w:ascii="黑体" w:eastAsia="黑体" w:hAnsi="Times New Roman" w:cs="Times New Roman" w:hint="eastAsia"/>
          <w:bCs/>
          <w:spacing w:val="60"/>
          <w:sz w:val="72"/>
          <w:szCs w:val="24"/>
        </w:rPr>
        <w:t>课</w:t>
      </w:r>
      <w:r>
        <w:rPr>
          <w:rFonts w:ascii="黑体" w:eastAsia="黑体" w:hAnsi="Times New Roman" w:cs="Times New Roman" w:hint="eastAsia"/>
          <w:bCs/>
          <w:spacing w:val="60"/>
          <w:sz w:val="72"/>
          <w:szCs w:val="24"/>
        </w:rPr>
        <w:t xml:space="preserve">   </w:t>
      </w:r>
      <w:r>
        <w:rPr>
          <w:rFonts w:ascii="黑体" w:eastAsia="黑体" w:hAnsi="Times New Roman" w:cs="Times New Roman" w:hint="eastAsia"/>
          <w:bCs/>
          <w:spacing w:val="60"/>
          <w:sz w:val="72"/>
          <w:szCs w:val="24"/>
        </w:rPr>
        <w:t>题</w:t>
      </w:r>
      <w:r>
        <w:rPr>
          <w:rFonts w:ascii="黑体" w:eastAsia="黑体" w:hAnsi="Times New Roman" w:cs="Times New Roman" w:hint="eastAsia"/>
          <w:bCs/>
          <w:spacing w:val="60"/>
          <w:sz w:val="72"/>
          <w:szCs w:val="24"/>
        </w:rPr>
        <w:t xml:space="preserve">  </w:t>
      </w:r>
      <w:r>
        <w:rPr>
          <w:rFonts w:ascii="黑体" w:eastAsia="黑体" w:hAnsi="Times New Roman" w:cs="Times New Roman" w:hint="eastAsia"/>
          <w:bCs/>
          <w:spacing w:val="60"/>
          <w:sz w:val="72"/>
          <w:szCs w:val="24"/>
        </w:rPr>
        <w:t>指</w:t>
      </w:r>
      <w:r>
        <w:rPr>
          <w:rFonts w:ascii="黑体" w:eastAsia="黑体" w:hAnsi="Times New Roman" w:cs="Times New Roman" w:hint="eastAsia"/>
          <w:bCs/>
          <w:spacing w:val="60"/>
          <w:sz w:val="72"/>
          <w:szCs w:val="24"/>
        </w:rPr>
        <w:t xml:space="preserve">  </w:t>
      </w:r>
      <w:r>
        <w:rPr>
          <w:rFonts w:ascii="黑体" w:eastAsia="黑体" w:hAnsi="Times New Roman" w:cs="Times New Roman" w:hint="eastAsia"/>
          <w:bCs/>
          <w:spacing w:val="60"/>
          <w:sz w:val="72"/>
          <w:szCs w:val="24"/>
        </w:rPr>
        <w:t>南</w:t>
      </w:r>
    </w:p>
    <w:p w:rsidR="00FB05AC" w:rsidRDefault="00FB05AC">
      <w:pPr>
        <w:jc w:val="center"/>
        <w:rPr>
          <w:rFonts w:ascii="Times New Roman" w:eastAsia="宋体" w:hAnsi="Times New Roman" w:cs="Times New Roman"/>
          <w:sz w:val="48"/>
          <w:szCs w:val="24"/>
        </w:rPr>
      </w:pPr>
    </w:p>
    <w:p w:rsidR="00FB05AC" w:rsidRDefault="00FB05AC">
      <w:pPr>
        <w:jc w:val="center"/>
        <w:rPr>
          <w:rFonts w:ascii="Times New Roman" w:eastAsia="宋体" w:hAnsi="Times New Roman" w:cs="Times New Roman"/>
          <w:sz w:val="48"/>
          <w:szCs w:val="24"/>
        </w:rPr>
      </w:pPr>
    </w:p>
    <w:p w:rsidR="00FB05AC" w:rsidRDefault="00FB05AC">
      <w:pPr>
        <w:jc w:val="center"/>
        <w:rPr>
          <w:rFonts w:ascii="Times New Roman" w:eastAsia="宋体" w:hAnsi="Times New Roman" w:cs="Times New Roman"/>
          <w:sz w:val="48"/>
          <w:szCs w:val="24"/>
        </w:rPr>
      </w:pPr>
    </w:p>
    <w:p w:rsidR="00FB05AC" w:rsidRDefault="00FB05AC">
      <w:pPr>
        <w:jc w:val="center"/>
        <w:rPr>
          <w:rFonts w:ascii="Times New Roman" w:eastAsia="宋体" w:hAnsi="Times New Roman" w:cs="Times New Roman"/>
          <w:sz w:val="48"/>
          <w:szCs w:val="24"/>
        </w:rPr>
      </w:pPr>
    </w:p>
    <w:p w:rsidR="00FB05AC" w:rsidRDefault="00C73691">
      <w:pPr>
        <w:jc w:val="center"/>
        <w:rPr>
          <w:rFonts w:ascii="楷体_GB2312" w:eastAsia="楷体_GB2312" w:hAnsi="Times New Roman" w:cs="Times New Roman"/>
          <w:bCs/>
          <w:sz w:val="32"/>
          <w:szCs w:val="32"/>
        </w:rPr>
      </w:pPr>
      <w:r>
        <w:rPr>
          <w:rFonts w:ascii="楷体_GB2312" w:eastAsia="楷体_GB2312" w:hAnsi="Times New Roman" w:cs="Times New Roman" w:hint="eastAsia"/>
          <w:bCs/>
          <w:sz w:val="32"/>
          <w:szCs w:val="32"/>
        </w:rPr>
        <w:t>成都市哲学社会科学规划办公室</w:t>
      </w:r>
    </w:p>
    <w:p w:rsidR="00FB05AC" w:rsidRDefault="00C23110">
      <w:pPr>
        <w:jc w:val="center"/>
        <w:rPr>
          <w:rFonts w:ascii="楷体_GB2312" w:eastAsia="楷体_GB2312" w:hAnsi="Times New Roman" w:cs="Times New Roman"/>
          <w:bCs/>
          <w:sz w:val="32"/>
          <w:szCs w:val="32"/>
        </w:rPr>
      </w:pPr>
      <w:r>
        <w:rPr>
          <w:rFonts w:ascii="楷体_GB2312" w:eastAsia="楷体_GB2312" w:hAnsi="Times New Roman" w:cs="Times New Roman" w:hint="eastAsia"/>
          <w:bCs/>
          <w:sz w:val="32"/>
          <w:szCs w:val="32"/>
        </w:rPr>
        <w:t>2018</w:t>
      </w:r>
      <w:r w:rsidR="00C73691">
        <w:rPr>
          <w:rFonts w:ascii="楷体_GB2312" w:eastAsia="楷体_GB2312" w:hAnsi="Times New Roman" w:cs="Times New Roman" w:hint="eastAsia"/>
          <w:bCs/>
          <w:sz w:val="32"/>
          <w:szCs w:val="32"/>
        </w:rPr>
        <w:t>年</w:t>
      </w:r>
      <w:r w:rsidR="00C73691">
        <w:rPr>
          <w:rFonts w:ascii="楷体_GB2312" w:eastAsia="楷体_GB2312" w:hAnsi="Times New Roman" w:cs="Times New Roman"/>
          <w:bCs/>
          <w:sz w:val="32"/>
          <w:szCs w:val="32"/>
        </w:rPr>
        <w:t>3</w:t>
      </w:r>
      <w:r w:rsidR="00C73691">
        <w:rPr>
          <w:rFonts w:ascii="楷体_GB2312" w:eastAsia="楷体_GB2312" w:hAnsi="Times New Roman" w:cs="Times New Roman" w:hint="eastAsia"/>
          <w:bCs/>
          <w:sz w:val="32"/>
          <w:szCs w:val="32"/>
        </w:rPr>
        <w:t>月</w:t>
      </w:r>
    </w:p>
    <w:p w:rsidR="00FB05AC" w:rsidRDefault="00FB05AC">
      <w:pPr>
        <w:jc w:val="center"/>
        <w:rPr>
          <w:rFonts w:ascii="Times New Roman" w:eastAsia="宋体" w:hAnsi="Times New Roman" w:cs="Times New Roman"/>
          <w:sz w:val="48"/>
          <w:szCs w:val="24"/>
        </w:rPr>
      </w:pPr>
    </w:p>
    <w:p w:rsidR="00FB05AC" w:rsidRDefault="00FB05AC">
      <w:pPr>
        <w:jc w:val="center"/>
        <w:rPr>
          <w:rFonts w:ascii="Times New Roman" w:eastAsia="宋体" w:hAnsi="Times New Roman" w:cs="Times New Roman"/>
          <w:sz w:val="48"/>
          <w:szCs w:val="24"/>
        </w:rPr>
      </w:pPr>
    </w:p>
    <w:p w:rsidR="00FB05AC" w:rsidRDefault="00FB05AC">
      <w:pPr>
        <w:jc w:val="center"/>
        <w:rPr>
          <w:rFonts w:ascii="Times New Roman" w:eastAsia="宋体" w:hAnsi="Times New Roman" w:cs="Times New Roman"/>
          <w:sz w:val="48"/>
          <w:szCs w:val="24"/>
        </w:rPr>
      </w:pPr>
    </w:p>
    <w:p w:rsidR="00FB05AC" w:rsidRDefault="00C73691">
      <w:pPr>
        <w:jc w:val="center"/>
        <w:rPr>
          <w:rFonts w:ascii="Times New Roman" w:eastAsia="宋体" w:hAnsi="Times New Roman" w:cs="Times New Roman"/>
          <w:sz w:val="48"/>
          <w:szCs w:val="24"/>
        </w:rPr>
      </w:pPr>
      <w:r>
        <w:rPr>
          <w:rFonts w:ascii="Times New Roman" w:eastAsia="宋体" w:hAnsi="Times New Roman" w:cs="Times New Roman" w:hint="eastAsia"/>
          <w:sz w:val="48"/>
          <w:szCs w:val="24"/>
        </w:rPr>
        <w:lastRenderedPageBreak/>
        <w:t>说</w:t>
      </w:r>
      <w:r>
        <w:rPr>
          <w:rFonts w:ascii="Times New Roman" w:eastAsia="宋体" w:hAnsi="Times New Roman" w:cs="Times New Roman" w:hint="eastAsia"/>
          <w:sz w:val="48"/>
          <w:szCs w:val="24"/>
        </w:rPr>
        <w:t xml:space="preserve">    </w:t>
      </w:r>
      <w:r>
        <w:rPr>
          <w:rFonts w:ascii="Times New Roman" w:eastAsia="宋体" w:hAnsi="Times New Roman" w:cs="Times New Roman" w:hint="eastAsia"/>
          <w:sz w:val="48"/>
          <w:szCs w:val="24"/>
        </w:rPr>
        <w:t>明</w:t>
      </w:r>
    </w:p>
    <w:p w:rsidR="00FB05AC" w:rsidRDefault="00FB05AC">
      <w:pPr>
        <w:jc w:val="center"/>
        <w:rPr>
          <w:rFonts w:ascii="Times New Roman" w:eastAsia="宋体" w:hAnsi="Times New Roman" w:cs="Times New Roman"/>
          <w:sz w:val="48"/>
          <w:szCs w:val="24"/>
        </w:rPr>
      </w:pPr>
    </w:p>
    <w:p w:rsidR="00FB05AC" w:rsidRDefault="00C73691">
      <w:pPr>
        <w:spacing w:line="540" w:lineRule="exact"/>
        <w:ind w:firstLineChars="200" w:firstLine="640"/>
        <w:rPr>
          <w:rFonts w:ascii="仿宋_GB2312" w:eastAsia="仿宋_GB2312" w:hAnsi="宋体" w:cs="Times New Roman"/>
          <w:kern w:val="30"/>
          <w:sz w:val="32"/>
          <w:szCs w:val="32"/>
        </w:rPr>
      </w:pPr>
      <w:r>
        <w:rPr>
          <w:rFonts w:ascii="仿宋_GB2312" w:eastAsia="仿宋_GB2312" w:hAnsi="宋体" w:cs="Times New Roman" w:hint="eastAsia"/>
          <w:kern w:val="30"/>
          <w:sz w:val="32"/>
          <w:szCs w:val="32"/>
        </w:rPr>
        <w:t>一、</w:t>
      </w:r>
      <w:r>
        <w:rPr>
          <w:rFonts w:ascii="仿宋_GB2312" w:eastAsia="仿宋_GB2312" w:hAnsi="宋体" w:cs="Times New Roman" w:hint="eastAsia"/>
          <w:kern w:val="30"/>
          <w:sz w:val="32"/>
          <w:szCs w:val="32"/>
        </w:rPr>
        <w:t>201</w:t>
      </w:r>
      <w:r>
        <w:rPr>
          <w:rFonts w:ascii="仿宋_GB2312" w:eastAsia="仿宋_GB2312" w:hAnsi="宋体" w:cs="Times New Roman"/>
          <w:kern w:val="30"/>
          <w:sz w:val="32"/>
          <w:szCs w:val="32"/>
        </w:rPr>
        <w:t>8</w:t>
      </w:r>
      <w:r>
        <w:rPr>
          <w:rFonts w:ascii="仿宋_GB2312" w:eastAsia="仿宋_GB2312" w:hAnsi="宋体" w:cs="Times New Roman" w:hint="eastAsia"/>
          <w:kern w:val="30"/>
          <w:sz w:val="32"/>
          <w:szCs w:val="32"/>
        </w:rPr>
        <w:t>年度成都市哲学社会科学规划项目立项的指导思想是：以</w:t>
      </w:r>
      <w:r>
        <w:rPr>
          <w:rFonts w:ascii="仿宋_GB2312" w:eastAsia="仿宋_GB2312" w:hAnsi="宋体" w:cs="Times New Roman"/>
          <w:kern w:val="30"/>
          <w:sz w:val="32"/>
          <w:szCs w:val="32"/>
        </w:rPr>
        <w:t>习近平新时代中国特色社会主义思想为指引，</w:t>
      </w:r>
      <w:r>
        <w:rPr>
          <w:rFonts w:ascii="仿宋_GB2312" w:eastAsia="仿宋_GB2312" w:hAnsi="宋体" w:cs="Times New Roman" w:hint="eastAsia"/>
          <w:kern w:val="30"/>
          <w:sz w:val="32"/>
          <w:szCs w:val="32"/>
        </w:rPr>
        <w:t>深入</w:t>
      </w:r>
      <w:r>
        <w:rPr>
          <w:rFonts w:ascii="仿宋_GB2312" w:eastAsia="仿宋_GB2312" w:hAnsi="宋体" w:cs="Times New Roman"/>
          <w:kern w:val="30"/>
          <w:sz w:val="32"/>
          <w:szCs w:val="32"/>
        </w:rPr>
        <w:t>学习</w:t>
      </w:r>
      <w:r>
        <w:rPr>
          <w:rFonts w:ascii="仿宋_GB2312" w:eastAsia="仿宋_GB2312" w:hAnsi="宋体" w:cs="Times New Roman" w:hint="eastAsia"/>
          <w:kern w:val="30"/>
          <w:sz w:val="32"/>
          <w:szCs w:val="32"/>
        </w:rPr>
        <w:t>贯彻</w:t>
      </w:r>
      <w:r>
        <w:rPr>
          <w:rFonts w:ascii="仿宋_GB2312" w:eastAsia="仿宋_GB2312" w:hAnsi="宋体" w:cs="Times New Roman"/>
          <w:kern w:val="30"/>
          <w:sz w:val="32"/>
          <w:szCs w:val="32"/>
        </w:rPr>
        <w:t>党的</w:t>
      </w:r>
      <w:r>
        <w:rPr>
          <w:rFonts w:ascii="仿宋_GB2312" w:eastAsia="仿宋_GB2312" w:hAnsi="宋体" w:cs="Times New Roman" w:hint="eastAsia"/>
          <w:kern w:val="30"/>
          <w:sz w:val="32"/>
          <w:szCs w:val="32"/>
        </w:rPr>
        <w:t>十九大</w:t>
      </w:r>
      <w:r>
        <w:rPr>
          <w:rFonts w:ascii="仿宋_GB2312" w:eastAsia="仿宋_GB2312" w:hAnsi="宋体" w:cs="Times New Roman"/>
          <w:kern w:val="30"/>
          <w:sz w:val="32"/>
          <w:szCs w:val="32"/>
        </w:rPr>
        <w:t>精神，</w:t>
      </w:r>
      <w:r>
        <w:rPr>
          <w:rFonts w:ascii="仿宋_GB2312" w:eastAsia="仿宋_GB2312" w:hAnsi="宋体" w:cs="Times New Roman" w:hint="eastAsia"/>
          <w:kern w:val="30"/>
          <w:sz w:val="32"/>
          <w:szCs w:val="32"/>
        </w:rPr>
        <w:t>省委</w:t>
      </w:r>
      <w:r>
        <w:rPr>
          <w:rFonts w:ascii="仿宋_GB2312" w:eastAsia="仿宋_GB2312" w:hAnsi="宋体" w:cs="Times New Roman"/>
          <w:kern w:val="30"/>
          <w:sz w:val="32"/>
          <w:szCs w:val="32"/>
        </w:rPr>
        <w:t>十一届二次全会和市委十三届二次全会精神</w:t>
      </w:r>
      <w:r>
        <w:rPr>
          <w:rFonts w:ascii="仿宋_GB2312" w:eastAsia="仿宋_GB2312" w:hAnsi="宋体" w:cs="Times New Roman" w:hint="eastAsia"/>
          <w:kern w:val="30"/>
          <w:sz w:val="32"/>
          <w:szCs w:val="32"/>
        </w:rPr>
        <w:t>，紧密围绕市委市政府中心工作，深入培育和践行社会主义核心价值观，为我市加快建设全面</w:t>
      </w:r>
      <w:r>
        <w:rPr>
          <w:rFonts w:ascii="仿宋_GB2312" w:eastAsia="仿宋_GB2312" w:hAnsi="宋体" w:cs="Times New Roman"/>
          <w:kern w:val="30"/>
          <w:sz w:val="32"/>
          <w:szCs w:val="32"/>
        </w:rPr>
        <w:t>体现新发展</w:t>
      </w:r>
      <w:r>
        <w:rPr>
          <w:rFonts w:ascii="仿宋_GB2312" w:eastAsia="仿宋_GB2312" w:hAnsi="宋体" w:cs="Times New Roman" w:hint="eastAsia"/>
          <w:kern w:val="30"/>
          <w:sz w:val="32"/>
          <w:szCs w:val="32"/>
        </w:rPr>
        <w:t>理念的</w:t>
      </w:r>
      <w:r>
        <w:rPr>
          <w:rFonts w:ascii="仿宋_GB2312" w:eastAsia="仿宋_GB2312" w:hAnsi="宋体" w:cs="Times New Roman"/>
          <w:kern w:val="30"/>
          <w:sz w:val="32"/>
          <w:szCs w:val="32"/>
        </w:rPr>
        <w:t>城市贡献</w:t>
      </w:r>
      <w:r>
        <w:rPr>
          <w:rFonts w:ascii="仿宋_GB2312" w:eastAsia="仿宋_GB2312" w:hAnsi="宋体" w:cs="Times New Roman" w:hint="eastAsia"/>
          <w:kern w:val="30"/>
          <w:sz w:val="32"/>
          <w:szCs w:val="32"/>
        </w:rPr>
        <w:t>社科</w:t>
      </w:r>
      <w:r>
        <w:rPr>
          <w:rFonts w:ascii="仿宋_GB2312" w:eastAsia="仿宋_GB2312" w:hAnsi="宋体" w:cs="Times New Roman"/>
          <w:kern w:val="30"/>
          <w:sz w:val="32"/>
          <w:szCs w:val="32"/>
        </w:rPr>
        <w:t>智库力量。</w:t>
      </w:r>
    </w:p>
    <w:p w:rsidR="00FB05AC" w:rsidRDefault="00C73691">
      <w:pPr>
        <w:spacing w:line="540" w:lineRule="exact"/>
        <w:ind w:firstLineChars="200" w:firstLine="640"/>
        <w:rPr>
          <w:rFonts w:ascii="仿宋_GB2312" w:eastAsia="仿宋_GB2312" w:hAnsi="宋体" w:cs="Times New Roman"/>
          <w:kern w:val="30"/>
          <w:sz w:val="32"/>
          <w:szCs w:val="32"/>
        </w:rPr>
      </w:pPr>
      <w:r>
        <w:rPr>
          <w:rFonts w:ascii="仿宋_GB2312" w:eastAsia="仿宋_GB2312" w:hAnsi="宋体" w:cs="Times New Roman" w:hint="eastAsia"/>
          <w:kern w:val="30"/>
          <w:sz w:val="32"/>
          <w:szCs w:val="32"/>
        </w:rPr>
        <w:t>二、本年度社科规划项目分</w:t>
      </w:r>
      <w:r>
        <w:rPr>
          <w:rFonts w:ascii="仿宋_GB2312" w:eastAsia="仿宋_GB2312" w:hAnsi="宋体" w:cs="Times New Roman"/>
          <w:kern w:val="30"/>
          <w:sz w:val="32"/>
          <w:szCs w:val="32"/>
        </w:rPr>
        <w:t>为重点项目、一般项目、</w:t>
      </w:r>
      <w:r>
        <w:rPr>
          <w:rFonts w:ascii="仿宋_GB2312" w:eastAsia="仿宋_GB2312" w:hAnsi="宋体" w:cs="Times New Roman" w:hint="eastAsia"/>
          <w:kern w:val="30"/>
          <w:sz w:val="32"/>
          <w:szCs w:val="32"/>
        </w:rPr>
        <w:t>联合</w:t>
      </w:r>
      <w:r>
        <w:rPr>
          <w:rFonts w:ascii="仿宋_GB2312" w:eastAsia="仿宋_GB2312" w:hAnsi="宋体" w:cs="Times New Roman"/>
          <w:kern w:val="30"/>
          <w:sz w:val="32"/>
          <w:szCs w:val="32"/>
        </w:rPr>
        <w:t>发布项目三类</w:t>
      </w:r>
      <w:r>
        <w:rPr>
          <w:rFonts w:ascii="仿宋_GB2312" w:eastAsia="仿宋_GB2312" w:hAnsi="宋体" w:cs="Times New Roman" w:hint="eastAsia"/>
          <w:kern w:val="30"/>
          <w:sz w:val="32"/>
          <w:szCs w:val="32"/>
        </w:rPr>
        <w:t>。</w:t>
      </w:r>
    </w:p>
    <w:p w:rsidR="00FB05AC" w:rsidRDefault="00C73691">
      <w:pPr>
        <w:spacing w:line="540" w:lineRule="exact"/>
        <w:ind w:firstLineChars="200" w:firstLine="643"/>
        <w:rPr>
          <w:rFonts w:ascii="仿宋_GB2312" w:eastAsia="仿宋_GB2312" w:hAnsi="宋体" w:cs="Times New Roman"/>
          <w:b/>
          <w:kern w:val="30"/>
          <w:sz w:val="32"/>
          <w:szCs w:val="32"/>
        </w:rPr>
      </w:pPr>
      <w:r>
        <w:rPr>
          <w:rFonts w:ascii="仿宋_GB2312" w:eastAsia="仿宋_GB2312" w:hAnsi="宋体" w:cs="Times New Roman"/>
          <w:b/>
          <w:kern w:val="30"/>
          <w:sz w:val="32"/>
          <w:szCs w:val="32"/>
        </w:rPr>
        <w:t>1.</w:t>
      </w:r>
      <w:r>
        <w:rPr>
          <w:rFonts w:ascii="仿宋_GB2312" w:eastAsia="仿宋_GB2312" w:hAnsi="宋体" w:cs="Times New Roman"/>
          <w:b/>
          <w:kern w:val="30"/>
          <w:sz w:val="32"/>
          <w:szCs w:val="32"/>
        </w:rPr>
        <w:t>重点项目立项</w:t>
      </w:r>
      <w:r>
        <w:rPr>
          <w:rFonts w:ascii="仿宋_GB2312" w:eastAsia="仿宋_GB2312" w:hAnsi="宋体" w:cs="Times New Roman" w:hint="eastAsia"/>
          <w:b/>
          <w:kern w:val="30"/>
          <w:sz w:val="32"/>
          <w:szCs w:val="32"/>
        </w:rPr>
        <w:t>约</w:t>
      </w:r>
      <w:r>
        <w:rPr>
          <w:rFonts w:ascii="仿宋_GB2312" w:eastAsia="仿宋_GB2312" w:hAnsi="宋体" w:cs="Times New Roman"/>
          <w:b/>
          <w:kern w:val="30"/>
          <w:sz w:val="32"/>
          <w:szCs w:val="32"/>
        </w:rPr>
        <w:t>20</w:t>
      </w:r>
      <w:r>
        <w:rPr>
          <w:rFonts w:ascii="仿宋_GB2312" w:eastAsia="仿宋_GB2312" w:hAnsi="宋体" w:cs="Times New Roman" w:hint="eastAsia"/>
          <w:b/>
          <w:kern w:val="30"/>
          <w:sz w:val="32"/>
          <w:szCs w:val="32"/>
        </w:rPr>
        <w:t>项，</w:t>
      </w:r>
      <w:r>
        <w:rPr>
          <w:rFonts w:ascii="仿宋_GB2312" w:eastAsia="仿宋_GB2312" w:hAnsi="宋体" w:cs="Times New Roman"/>
          <w:b/>
          <w:kern w:val="30"/>
          <w:sz w:val="32"/>
          <w:szCs w:val="32"/>
        </w:rPr>
        <w:t>每</w:t>
      </w:r>
      <w:r>
        <w:rPr>
          <w:rFonts w:ascii="仿宋_GB2312" w:eastAsia="仿宋_GB2312" w:hAnsi="宋体" w:cs="Times New Roman" w:hint="eastAsia"/>
          <w:b/>
          <w:kern w:val="30"/>
          <w:sz w:val="32"/>
          <w:szCs w:val="32"/>
        </w:rPr>
        <w:t>项资助经费</w:t>
      </w:r>
      <w:r>
        <w:rPr>
          <w:rFonts w:ascii="仿宋_GB2312" w:eastAsia="仿宋_GB2312" w:hAnsi="宋体" w:cs="Times New Roman"/>
          <w:b/>
          <w:kern w:val="30"/>
          <w:sz w:val="32"/>
          <w:szCs w:val="32"/>
        </w:rPr>
        <w:t>约</w:t>
      </w:r>
      <w:r w:rsidR="00C23110">
        <w:rPr>
          <w:rFonts w:ascii="仿宋_GB2312" w:eastAsia="仿宋_GB2312" w:hAnsi="宋体" w:cs="Times New Roman" w:hint="eastAsia"/>
          <w:b/>
          <w:kern w:val="30"/>
          <w:sz w:val="32"/>
          <w:szCs w:val="32"/>
        </w:rPr>
        <w:t>4</w:t>
      </w:r>
      <w:r>
        <w:rPr>
          <w:rFonts w:ascii="仿宋_GB2312" w:eastAsia="仿宋_GB2312" w:hAnsi="宋体" w:cs="Times New Roman" w:hint="eastAsia"/>
          <w:b/>
          <w:kern w:val="30"/>
          <w:sz w:val="32"/>
          <w:szCs w:val="32"/>
        </w:rPr>
        <w:t>万</w:t>
      </w:r>
      <w:r>
        <w:rPr>
          <w:rFonts w:ascii="仿宋_GB2312" w:eastAsia="仿宋_GB2312" w:hAnsi="宋体" w:cs="Times New Roman"/>
          <w:b/>
          <w:kern w:val="30"/>
          <w:sz w:val="32"/>
          <w:szCs w:val="32"/>
        </w:rPr>
        <w:t>元</w:t>
      </w:r>
      <w:r>
        <w:rPr>
          <w:rFonts w:ascii="仿宋_GB2312" w:eastAsia="仿宋_GB2312" w:hAnsi="宋体" w:cs="Times New Roman" w:hint="eastAsia"/>
          <w:b/>
          <w:kern w:val="30"/>
          <w:sz w:val="32"/>
          <w:szCs w:val="32"/>
        </w:rPr>
        <w:t>，最终</w:t>
      </w:r>
      <w:r>
        <w:rPr>
          <w:rFonts w:ascii="仿宋_GB2312" w:eastAsia="仿宋_GB2312" w:hAnsi="宋体" w:cs="Times New Roman"/>
          <w:b/>
          <w:kern w:val="30"/>
          <w:sz w:val="32"/>
          <w:szCs w:val="32"/>
        </w:rPr>
        <w:t>成果形式</w:t>
      </w:r>
      <w:r>
        <w:rPr>
          <w:rFonts w:ascii="仿宋_GB2312" w:eastAsia="仿宋_GB2312" w:hAnsi="宋体" w:cs="Times New Roman" w:hint="eastAsia"/>
          <w:b/>
          <w:kern w:val="30"/>
          <w:sz w:val="32"/>
          <w:szCs w:val="32"/>
        </w:rPr>
        <w:t>为</w:t>
      </w:r>
      <w:r>
        <w:rPr>
          <w:rFonts w:ascii="仿宋_GB2312" w:eastAsia="仿宋_GB2312" w:hAnsi="宋体" w:cs="Times New Roman"/>
          <w:b/>
          <w:kern w:val="30"/>
          <w:sz w:val="32"/>
          <w:szCs w:val="32"/>
        </w:rPr>
        <w:t>研究报告</w:t>
      </w:r>
      <w:r>
        <w:rPr>
          <w:rFonts w:ascii="仿宋_GB2312" w:eastAsia="仿宋_GB2312" w:hAnsi="宋体" w:cs="Times New Roman" w:hint="eastAsia"/>
          <w:b/>
          <w:kern w:val="30"/>
          <w:sz w:val="32"/>
          <w:szCs w:val="32"/>
        </w:rPr>
        <w:t>，完成</w:t>
      </w:r>
      <w:r>
        <w:rPr>
          <w:rFonts w:ascii="仿宋_GB2312" w:eastAsia="仿宋_GB2312" w:hAnsi="宋体" w:cs="Times New Roman"/>
          <w:b/>
          <w:kern w:val="30"/>
          <w:sz w:val="32"/>
          <w:szCs w:val="32"/>
        </w:rPr>
        <w:t>时限为</w:t>
      </w:r>
      <w:r>
        <w:rPr>
          <w:rFonts w:ascii="仿宋_GB2312" w:eastAsia="仿宋_GB2312" w:hAnsi="宋体" w:cs="Times New Roman"/>
          <w:b/>
          <w:kern w:val="30"/>
          <w:sz w:val="32"/>
          <w:szCs w:val="32"/>
        </w:rPr>
        <w:t>2018</w:t>
      </w:r>
      <w:r>
        <w:rPr>
          <w:rFonts w:ascii="仿宋_GB2312" w:eastAsia="仿宋_GB2312" w:hAnsi="宋体" w:cs="Times New Roman" w:hint="eastAsia"/>
          <w:b/>
          <w:kern w:val="30"/>
          <w:sz w:val="32"/>
          <w:szCs w:val="32"/>
        </w:rPr>
        <w:t>年</w:t>
      </w:r>
      <w:r>
        <w:rPr>
          <w:rFonts w:ascii="仿宋_GB2312" w:eastAsia="仿宋_GB2312" w:hAnsi="宋体" w:cs="Times New Roman" w:hint="eastAsia"/>
          <w:b/>
          <w:kern w:val="30"/>
          <w:sz w:val="32"/>
          <w:szCs w:val="32"/>
        </w:rPr>
        <w:t>12</w:t>
      </w:r>
      <w:r>
        <w:rPr>
          <w:rFonts w:ascii="仿宋_GB2312" w:eastAsia="仿宋_GB2312" w:hAnsi="宋体" w:cs="Times New Roman" w:hint="eastAsia"/>
          <w:b/>
          <w:kern w:val="30"/>
          <w:sz w:val="32"/>
          <w:szCs w:val="32"/>
        </w:rPr>
        <w:t>月底</w:t>
      </w:r>
      <w:r>
        <w:rPr>
          <w:rFonts w:ascii="仿宋_GB2312" w:eastAsia="仿宋_GB2312" w:hAnsi="宋体" w:cs="Times New Roman"/>
          <w:b/>
          <w:kern w:val="30"/>
          <w:sz w:val="32"/>
          <w:szCs w:val="32"/>
        </w:rPr>
        <w:t>前</w:t>
      </w:r>
      <w:r>
        <w:rPr>
          <w:rFonts w:ascii="仿宋_GB2312" w:eastAsia="仿宋_GB2312" w:hAnsi="宋体" w:cs="Times New Roman" w:hint="eastAsia"/>
          <w:b/>
          <w:kern w:val="30"/>
          <w:sz w:val="32"/>
          <w:szCs w:val="32"/>
        </w:rPr>
        <w:t>，</w:t>
      </w:r>
      <w:r>
        <w:rPr>
          <w:rFonts w:ascii="仿宋_GB2312" w:eastAsia="仿宋_GB2312" w:hAnsi="宋体" w:cs="Times New Roman"/>
          <w:b/>
          <w:kern w:val="30"/>
          <w:sz w:val="32"/>
          <w:szCs w:val="32"/>
        </w:rPr>
        <w:t>结项要求为</w:t>
      </w:r>
      <w:r>
        <w:rPr>
          <w:rFonts w:ascii="仿宋_GB2312" w:eastAsia="仿宋_GB2312" w:hAnsi="宋体" w:cs="Times New Roman" w:hint="eastAsia"/>
          <w:b/>
          <w:kern w:val="30"/>
          <w:sz w:val="32"/>
          <w:szCs w:val="32"/>
        </w:rPr>
        <w:t>一篇</w:t>
      </w:r>
      <w:r>
        <w:rPr>
          <w:rFonts w:ascii="仿宋_GB2312" w:eastAsia="仿宋_GB2312" w:hAnsi="宋体" w:cs="Times New Roman" w:hint="eastAsia"/>
          <w:b/>
          <w:kern w:val="30"/>
          <w:sz w:val="32"/>
          <w:szCs w:val="32"/>
        </w:rPr>
        <w:t>C</w:t>
      </w:r>
      <w:r>
        <w:rPr>
          <w:rFonts w:ascii="仿宋_GB2312" w:eastAsia="仿宋_GB2312" w:hAnsi="宋体" w:cs="Times New Roman" w:hint="eastAsia"/>
          <w:b/>
          <w:kern w:val="30"/>
          <w:sz w:val="32"/>
          <w:szCs w:val="32"/>
        </w:rPr>
        <w:t>刊或应用转化以及专家</w:t>
      </w:r>
      <w:r>
        <w:rPr>
          <w:rFonts w:ascii="仿宋_GB2312" w:eastAsia="仿宋_GB2312" w:hAnsi="宋体" w:cs="Times New Roman"/>
          <w:b/>
          <w:kern w:val="30"/>
          <w:sz w:val="32"/>
          <w:szCs w:val="32"/>
        </w:rPr>
        <w:t>评审</w:t>
      </w:r>
      <w:r>
        <w:rPr>
          <w:rFonts w:ascii="仿宋_GB2312" w:eastAsia="仿宋_GB2312" w:hAnsi="宋体" w:cs="Times New Roman" w:hint="eastAsia"/>
          <w:b/>
          <w:kern w:val="30"/>
          <w:sz w:val="32"/>
          <w:szCs w:val="32"/>
        </w:rPr>
        <w:t>。</w:t>
      </w:r>
    </w:p>
    <w:p w:rsidR="00FB05AC" w:rsidRDefault="00C73691">
      <w:pPr>
        <w:spacing w:line="540" w:lineRule="exact"/>
        <w:ind w:firstLineChars="200" w:firstLine="643"/>
        <w:rPr>
          <w:rFonts w:ascii="仿宋_GB2312" w:eastAsia="仿宋_GB2312" w:hAnsi="宋体" w:cs="Times New Roman"/>
          <w:b/>
          <w:kern w:val="30"/>
          <w:sz w:val="32"/>
          <w:szCs w:val="32"/>
        </w:rPr>
      </w:pPr>
      <w:r>
        <w:rPr>
          <w:rFonts w:ascii="仿宋_GB2312" w:eastAsia="仿宋_GB2312" w:hAnsi="宋体" w:cs="Times New Roman"/>
          <w:b/>
          <w:kern w:val="30"/>
          <w:sz w:val="32"/>
          <w:szCs w:val="32"/>
        </w:rPr>
        <w:t>2.</w:t>
      </w:r>
      <w:r>
        <w:rPr>
          <w:rFonts w:ascii="仿宋_GB2312" w:eastAsia="仿宋_GB2312" w:hAnsi="宋体" w:cs="Times New Roman" w:hint="eastAsia"/>
          <w:b/>
          <w:kern w:val="30"/>
          <w:sz w:val="32"/>
          <w:szCs w:val="32"/>
        </w:rPr>
        <w:t>一般</w:t>
      </w:r>
      <w:r>
        <w:rPr>
          <w:rFonts w:ascii="仿宋_GB2312" w:eastAsia="仿宋_GB2312" w:hAnsi="宋体" w:cs="Times New Roman"/>
          <w:b/>
          <w:kern w:val="30"/>
          <w:sz w:val="32"/>
          <w:szCs w:val="32"/>
        </w:rPr>
        <w:t>项目立项约</w:t>
      </w:r>
      <w:r>
        <w:rPr>
          <w:rFonts w:ascii="仿宋_GB2312" w:eastAsia="仿宋_GB2312" w:hAnsi="宋体" w:cs="Times New Roman"/>
          <w:b/>
          <w:kern w:val="30"/>
          <w:sz w:val="32"/>
          <w:szCs w:val="32"/>
        </w:rPr>
        <w:t>1</w:t>
      </w:r>
      <w:r>
        <w:rPr>
          <w:rFonts w:ascii="仿宋_GB2312" w:eastAsia="仿宋_GB2312" w:hAnsi="宋体" w:cs="Times New Roman" w:hint="eastAsia"/>
          <w:b/>
          <w:kern w:val="30"/>
          <w:sz w:val="32"/>
          <w:szCs w:val="32"/>
        </w:rPr>
        <w:t>5</w:t>
      </w:r>
      <w:r>
        <w:rPr>
          <w:rFonts w:ascii="仿宋_GB2312" w:eastAsia="仿宋_GB2312" w:hAnsi="宋体" w:cs="Times New Roman"/>
          <w:b/>
          <w:kern w:val="30"/>
          <w:sz w:val="32"/>
          <w:szCs w:val="32"/>
        </w:rPr>
        <w:t>0</w:t>
      </w:r>
      <w:r>
        <w:rPr>
          <w:rFonts w:ascii="仿宋_GB2312" w:eastAsia="仿宋_GB2312" w:hAnsi="宋体" w:cs="Times New Roman" w:hint="eastAsia"/>
          <w:b/>
          <w:kern w:val="30"/>
          <w:sz w:val="32"/>
          <w:szCs w:val="32"/>
        </w:rPr>
        <w:t>项（资助</w:t>
      </w:r>
      <w:r>
        <w:rPr>
          <w:rFonts w:ascii="仿宋_GB2312" w:eastAsia="仿宋_GB2312" w:hAnsi="宋体" w:cs="Times New Roman"/>
          <w:b/>
          <w:kern w:val="30"/>
          <w:sz w:val="32"/>
          <w:szCs w:val="32"/>
        </w:rPr>
        <w:t>经费项目</w:t>
      </w:r>
      <w:r>
        <w:rPr>
          <w:rFonts w:ascii="仿宋_GB2312" w:eastAsia="仿宋_GB2312" w:hAnsi="宋体" w:cs="Times New Roman" w:hint="eastAsia"/>
          <w:b/>
          <w:kern w:val="30"/>
          <w:sz w:val="32"/>
          <w:szCs w:val="32"/>
        </w:rPr>
        <w:t>约</w:t>
      </w:r>
      <w:r>
        <w:rPr>
          <w:rFonts w:ascii="仿宋_GB2312" w:eastAsia="仿宋_GB2312" w:hAnsi="宋体" w:cs="Times New Roman" w:hint="eastAsia"/>
          <w:b/>
          <w:kern w:val="30"/>
          <w:sz w:val="32"/>
          <w:szCs w:val="32"/>
        </w:rPr>
        <w:t>90</w:t>
      </w:r>
      <w:r>
        <w:rPr>
          <w:rFonts w:ascii="仿宋_GB2312" w:eastAsia="仿宋_GB2312" w:hAnsi="宋体" w:cs="Times New Roman" w:hint="eastAsia"/>
          <w:b/>
          <w:kern w:val="30"/>
          <w:sz w:val="32"/>
          <w:szCs w:val="32"/>
        </w:rPr>
        <w:t>项、</w:t>
      </w:r>
      <w:r>
        <w:rPr>
          <w:rFonts w:ascii="仿宋_GB2312" w:eastAsia="仿宋_GB2312" w:hAnsi="宋体" w:cs="Times New Roman"/>
          <w:b/>
          <w:kern w:val="30"/>
          <w:sz w:val="32"/>
          <w:szCs w:val="32"/>
        </w:rPr>
        <w:t>自筹经费项目</w:t>
      </w:r>
      <w:r>
        <w:rPr>
          <w:rFonts w:ascii="仿宋_GB2312" w:eastAsia="仿宋_GB2312" w:hAnsi="宋体" w:cs="Times New Roman" w:hint="eastAsia"/>
          <w:b/>
          <w:kern w:val="30"/>
          <w:sz w:val="32"/>
          <w:szCs w:val="32"/>
        </w:rPr>
        <w:t>约</w:t>
      </w:r>
      <w:r>
        <w:rPr>
          <w:rFonts w:ascii="仿宋_GB2312" w:eastAsia="仿宋_GB2312" w:hAnsi="宋体" w:cs="Times New Roman" w:hint="eastAsia"/>
          <w:b/>
          <w:kern w:val="30"/>
          <w:sz w:val="32"/>
          <w:szCs w:val="32"/>
        </w:rPr>
        <w:t>60</w:t>
      </w:r>
      <w:r>
        <w:rPr>
          <w:rFonts w:ascii="仿宋_GB2312" w:eastAsia="仿宋_GB2312" w:hAnsi="宋体" w:cs="Times New Roman" w:hint="eastAsia"/>
          <w:b/>
          <w:kern w:val="30"/>
          <w:sz w:val="32"/>
          <w:szCs w:val="32"/>
        </w:rPr>
        <w:t>项），最终</w:t>
      </w:r>
      <w:r>
        <w:rPr>
          <w:rFonts w:ascii="仿宋_GB2312" w:eastAsia="仿宋_GB2312" w:hAnsi="宋体" w:cs="Times New Roman"/>
          <w:b/>
          <w:kern w:val="30"/>
          <w:sz w:val="32"/>
          <w:szCs w:val="32"/>
        </w:rPr>
        <w:t>成果形式为</w:t>
      </w:r>
      <w:r>
        <w:rPr>
          <w:rFonts w:ascii="仿宋_GB2312" w:eastAsia="仿宋_GB2312" w:hAnsi="宋体" w:cs="Times New Roman" w:hint="eastAsia"/>
          <w:b/>
          <w:kern w:val="30"/>
          <w:sz w:val="32"/>
          <w:szCs w:val="32"/>
        </w:rPr>
        <w:t>专著、科普读物、论文、研究报告，</w:t>
      </w:r>
      <w:r>
        <w:rPr>
          <w:rFonts w:ascii="仿宋_GB2312" w:eastAsia="仿宋_GB2312" w:hAnsi="宋体" w:cs="Times New Roman"/>
          <w:b/>
          <w:kern w:val="30"/>
          <w:sz w:val="32"/>
          <w:szCs w:val="32"/>
        </w:rPr>
        <w:t>专著和科普</w:t>
      </w:r>
      <w:r>
        <w:rPr>
          <w:rFonts w:ascii="仿宋_GB2312" w:eastAsia="仿宋_GB2312" w:hAnsi="宋体" w:cs="Times New Roman" w:hint="eastAsia"/>
          <w:b/>
          <w:kern w:val="30"/>
          <w:sz w:val="32"/>
          <w:szCs w:val="32"/>
        </w:rPr>
        <w:t>读物每项资助经费</w:t>
      </w:r>
      <w:r>
        <w:rPr>
          <w:rFonts w:ascii="仿宋_GB2312" w:eastAsia="仿宋_GB2312" w:hAnsi="宋体" w:cs="Times New Roman"/>
          <w:b/>
          <w:kern w:val="30"/>
          <w:sz w:val="32"/>
          <w:szCs w:val="32"/>
        </w:rPr>
        <w:t>约</w:t>
      </w:r>
      <w:r>
        <w:rPr>
          <w:rFonts w:ascii="仿宋_GB2312" w:eastAsia="仿宋_GB2312" w:hAnsi="宋体" w:cs="Times New Roman" w:hint="eastAsia"/>
          <w:b/>
          <w:kern w:val="30"/>
          <w:sz w:val="32"/>
          <w:szCs w:val="32"/>
        </w:rPr>
        <w:t>2</w:t>
      </w:r>
      <w:r>
        <w:rPr>
          <w:rFonts w:ascii="仿宋_GB2312" w:eastAsia="仿宋_GB2312" w:hAnsi="宋体" w:cs="Times New Roman" w:hint="eastAsia"/>
          <w:b/>
          <w:kern w:val="30"/>
          <w:sz w:val="32"/>
          <w:szCs w:val="32"/>
        </w:rPr>
        <w:t>万元</w:t>
      </w:r>
      <w:r>
        <w:rPr>
          <w:rFonts w:ascii="仿宋_GB2312" w:eastAsia="仿宋_GB2312" w:hAnsi="宋体" w:cs="Times New Roman"/>
          <w:b/>
          <w:kern w:val="30"/>
          <w:sz w:val="32"/>
          <w:szCs w:val="32"/>
        </w:rPr>
        <w:t>，完成</w:t>
      </w:r>
      <w:r>
        <w:rPr>
          <w:rFonts w:ascii="仿宋_GB2312" w:eastAsia="仿宋_GB2312" w:hAnsi="宋体" w:cs="Times New Roman" w:hint="eastAsia"/>
          <w:b/>
          <w:kern w:val="30"/>
          <w:sz w:val="32"/>
          <w:szCs w:val="32"/>
        </w:rPr>
        <w:t>时限</w:t>
      </w:r>
      <w:r>
        <w:rPr>
          <w:rFonts w:ascii="仿宋_GB2312" w:eastAsia="仿宋_GB2312" w:hAnsi="宋体" w:cs="Times New Roman"/>
          <w:b/>
          <w:kern w:val="30"/>
          <w:sz w:val="32"/>
          <w:szCs w:val="32"/>
        </w:rPr>
        <w:t>为</w:t>
      </w:r>
      <w:r>
        <w:rPr>
          <w:rFonts w:ascii="仿宋_GB2312" w:eastAsia="仿宋_GB2312" w:hAnsi="宋体" w:cs="Times New Roman" w:hint="eastAsia"/>
          <w:b/>
          <w:kern w:val="30"/>
          <w:sz w:val="32"/>
          <w:szCs w:val="32"/>
        </w:rPr>
        <w:t>201</w:t>
      </w:r>
      <w:r>
        <w:rPr>
          <w:rFonts w:ascii="仿宋_GB2312" w:eastAsia="仿宋_GB2312" w:hAnsi="宋体" w:cs="Times New Roman"/>
          <w:b/>
          <w:kern w:val="30"/>
          <w:sz w:val="32"/>
          <w:szCs w:val="32"/>
        </w:rPr>
        <w:t>9</w:t>
      </w:r>
      <w:r>
        <w:rPr>
          <w:rFonts w:ascii="仿宋_GB2312" w:eastAsia="仿宋_GB2312" w:hAnsi="宋体" w:cs="Times New Roman" w:hint="eastAsia"/>
          <w:b/>
          <w:kern w:val="30"/>
          <w:sz w:val="32"/>
          <w:szCs w:val="32"/>
        </w:rPr>
        <w:t>年</w:t>
      </w:r>
      <w:r>
        <w:rPr>
          <w:rFonts w:ascii="仿宋_GB2312" w:eastAsia="仿宋_GB2312" w:hAnsi="宋体" w:cs="Times New Roman" w:hint="eastAsia"/>
          <w:b/>
          <w:kern w:val="30"/>
          <w:sz w:val="32"/>
          <w:szCs w:val="32"/>
        </w:rPr>
        <w:t>6</w:t>
      </w:r>
      <w:r>
        <w:rPr>
          <w:rFonts w:ascii="仿宋_GB2312" w:eastAsia="仿宋_GB2312" w:hAnsi="宋体" w:cs="Times New Roman" w:hint="eastAsia"/>
          <w:b/>
          <w:kern w:val="30"/>
          <w:sz w:val="32"/>
          <w:szCs w:val="32"/>
        </w:rPr>
        <w:t>月，论文</w:t>
      </w:r>
      <w:r>
        <w:rPr>
          <w:rFonts w:ascii="仿宋_GB2312" w:eastAsia="仿宋_GB2312" w:hAnsi="宋体" w:cs="Times New Roman"/>
          <w:b/>
          <w:kern w:val="30"/>
          <w:sz w:val="32"/>
          <w:szCs w:val="32"/>
        </w:rPr>
        <w:t>、研究</w:t>
      </w:r>
      <w:r>
        <w:rPr>
          <w:rFonts w:ascii="仿宋_GB2312" w:eastAsia="仿宋_GB2312" w:hAnsi="宋体" w:cs="Times New Roman" w:hint="eastAsia"/>
          <w:b/>
          <w:kern w:val="30"/>
          <w:sz w:val="32"/>
          <w:szCs w:val="32"/>
        </w:rPr>
        <w:t>报告每项资助经费</w:t>
      </w:r>
      <w:r>
        <w:rPr>
          <w:rFonts w:ascii="仿宋_GB2312" w:eastAsia="仿宋_GB2312" w:hAnsi="宋体" w:cs="Times New Roman"/>
          <w:b/>
          <w:kern w:val="30"/>
          <w:sz w:val="32"/>
          <w:szCs w:val="32"/>
        </w:rPr>
        <w:t>约</w:t>
      </w:r>
      <w:r>
        <w:rPr>
          <w:rFonts w:ascii="仿宋_GB2312" w:eastAsia="仿宋_GB2312" w:hAnsi="宋体" w:cs="Times New Roman" w:hint="eastAsia"/>
          <w:b/>
          <w:kern w:val="30"/>
          <w:sz w:val="32"/>
          <w:szCs w:val="32"/>
        </w:rPr>
        <w:t>1.5</w:t>
      </w:r>
      <w:r>
        <w:rPr>
          <w:rFonts w:ascii="仿宋_GB2312" w:eastAsia="仿宋_GB2312" w:hAnsi="宋体" w:cs="Times New Roman" w:hint="eastAsia"/>
          <w:b/>
          <w:kern w:val="30"/>
          <w:sz w:val="32"/>
          <w:szCs w:val="32"/>
        </w:rPr>
        <w:t>万元</w:t>
      </w:r>
      <w:r>
        <w:rPr>
          <w:rFonts w:ascii="仿宋_GB2312" w:eastAsia="仿宋_GB2312" w:hAnsi="宋体" w:cs="Times New Roman"/>
          <w:b/>
          <w:kern w:val="30"/>
          <w:sz w:val="32"/>
          <w:szCs w:val="32"/>
        </w:rPr>
        <w:t>，完成时限为</w:t>
      </w:r>
      <w:r>
        <w:rPr>
          <w:rFonts w:ascii="仿宋_GB2312" w:eastAsia="仿宋_GB2312" w:hAnsi="宋体" w:cs="Times New Roman" w:hint="eastAsia"/>
          <w:b/>
          <w:kern w:val="30"/>
          <w:sz w:val="32"/>
          <w:szCs w:val="32"/>
        </w:rPr>
        <w:t>2018</w:t>
      </w:r>
      <w:r>
        <w:rPr>
          <w:rFonts w:ascii="仿宋_GB2312" w:eastAsia="仿宋_GB2312" w:hAnsi="宋体" w:cs="Times New Roman" w:hint="eastAsia"/>
          <w:b/>
          <w:kern w:val="30"/>
          <w:sz w:val="32"/>
          <w:szCs w:val="32"/>
        </w:rPr>
        <w:t>年</w:t>
      </w:r>
      <w:r>
        <w:rPr>
          <w:rFonts w:ascii="仿宋_GB2312" w:eastAsia="仿宋_GB2312" w:hAnsi="宋体" w:cs="Times New Roman" w:hint="eastAsia"/>
          <w:b/>
          <w:kern w:val="30"/>
          <w:sz w:val="32"/>
          <w:szCs w:val="32"/>
        </w:rPr>
        <w:t>12</w:t>
      </w:r>
      <w:r>
        <w:rPr>
          <w:rFonts w:ascii="仿宋_GB2312" w:eastAsia="仿宋_GB2312" w:hAnsi="宋体" w:cs="Times New Roman" w:hint="eastAsia"/>
          <w:b/>
          <w:kern w:val="30"/>
          <w:sz w:val="32"/>
          <w:szCs w:val="32"/>
        </w:rPr>
        <w:t>月底</w:t>
      </w:r>
      <w:r>
        <w:rPr>
          <w:rFonts w:ascii="仿宋_GB2312" w:eastAsia="仿宋_GB2312" w:hAnsi="宋体" w:cs="Times New Roman"/>
          <w:b/>
          <w:kern w:val="30"/>
          <w:sz w:val="32"/>
          <w:szCs w:val="32"/>
        </w:rPr>
        <w:t>前</w:t>
      </w:r>
      <w:r>
        <w:rPr>
          <w:rFonts w:ascii="仿宋_GB2312" w:eastAsia="仿宋_GB2312" w:hAnsi="宋体" w:cs="Times New Roman" w:hint="eastAsia"/>
          <w:b/>
          <w:kern w:val="30"/>
          <w:sz w:val="32"/>
          <w:szCs w:val="32"/>
        </w:rPr>
        <w:t>，结项</w:t>
      </w:r>
      <w:r>
        <w:rPr>
          <w:rFonts w:ascii="仿宋_GB2312" w:eastAsia="仿宋_GB2312" w:hAnsi="宋体" w:cs="Times New Roman"/>
          <w:b/>
          <w:kern w:val="30"/>
          <w:sz w:val="32"/>
          <w:szCs w:val="32"/>
        </w:rPr>
        <w:t>要求均为</w:t>
      </w:r>
      <w:r>
        <w:rPr>
          <w:rFonts w:ascii="仿宋_GB2312" w:eastAsia="仿宋_GB2312" w:hAnsi="宋体" w:cs="Times New Roman" w:hint="eastAsia"/>
          <w:b/>
          <w:kern w:val="30"/>
          <w:sz w:val="32"/>
          <w:szCs w:val="32"/>
        </w:rPr>
        <w:t>在省</w:t>
      </w:r>
      <w:r>
        <w:rPr>
          <w:rFonts w:ascii="仿宋_GB2312" w:eastAsia="仿宋_GB2312" w:hAnsi="宋体" w:cs="Times New Roman"/>
          <w:b/>
          <w:kern w:val="30"/>
          <w:sz w:val="32"/>
          <w:szCs w:val="32"/>
        </w:rPr>
        <w:t>级</w:t>
      </w:r>
      <w:r>
        <w:rPr>
          <w:rFonts w:ascii="仿宋_GB2312" w:eastAsia="仿宋_GB2312" w:hAnsi="宋体" w:cs="Times New Roman" w:hint="eastAsia"/>
          <w:b/>
          <w:kern w:val="30"/>
          <w:sz w:val="32"/>
          <w:szCs w:val="32"/>
        </w:rPr>
        <w:t>出版社（公开</w:t>
      </w:r>
      <w:r>
        <w:rPr>
          <w:rFonts w:ascii="仿宋_GB2312" w:eastAsia="仿宋_GB2312" w:hAnsi="宋体" w:cs="Times New Roman"/>
          <w:b/>
          <w:kern w:val="30"/>
          <w:sz w:val="32"/>
          <w:szCs w:val="32"/>
        </w:rPr>
        <w:t>刊物</w:t>
      </w:r>
      <w:r>
        <w:rPr>
          <w:rFonts w:ascii="仿宋_GB2312" w:eastAsia="仿宋_GB2312" w:hAnsi="宋体" w:cs="Times New Roman" w:hint="eastAsia"/>
          <w:b/>
          <w:kern w:val="30"/>
          <w:sz w:val="32"/>
          <w:szCs w:val="32"/>
        </w:rPr>
        <w:t>）</w:t>
      </w:r>
      <w:r>
        <w:rPr>
          <w:rFonts w:ascii="仿宋_GB2312" w:eastAsia="仿宋_GB2312" w:hAnsi="宋体" w:cs="Times New Roman"/>
          <w:b/>
          <w:kern w:val="30"/>
          <w:sz w:val="32"/>
          <w:szCs w:val="32"/>
        </w:rPr>
        <w:t>出版</w:t>
      </w:r>
      <w:r>
        <w:rPr>
          <w:rFonts w:ascii="仿宋_GB2312" w:eastAsia="仿宋_GB2312" w:hAnsi="宋体" w:cs="Times New Roman" w:hint="eastAsia"/>
          <w:b/>
          <w:kern w:val="30"/>
          <w:sz w:val="32"/>
          <w:szCs w:val="32"/>
        </w:rPr>
        <w:t>（发表）或应用转化</w:t>
      </w:r>
      <w:r>
        <w:rPr>
          <w:rFonts w:ascii="仿宋_GB2312" w:eastAsia="仿宋_GB2312" w:hAnsi="宋体" w:cs="Times New Roman"/>
          <w:b/>
          <w:kern w:val="30"/>
          <w:sz w:val="32"/>
          <w:szCs w:val="32"/>
        </w:rPr>
        <w:t>。</w:t>
      </w:r>
    </w:p>
    <w:p w:rsidR="00FB05AC" w:rsidRDefault="00C73691">
      <w:pPr>
        <w:spacing w:line="540" w:lineRule="exact"/>
        <w:ind w:firstLineChars="200" w:firstLine="643"/>
        <w:rPr>
          <w:rFonts w:ascii="仿宋_GB2312" w:eastAsia="仿宋_GB2312" w:hAnsi="宋体" w:cs="Times New Roman"/>
          <w:b/>
          <w:kern w:val="30"/>
          <w:sz w:val="32"/>
          <w:szCs w:val="32"/>
        </w:rPr>
      </w:pPr>
      <w:r>
        <w:rPr>
          <w:rFonts w:ascii="仿宋_GB2312" w:eastAsia="仿宋_GB2312" w:hAnsi="宋体" w:cs="Times New Roman" w:hint="eastAsia"/>
          <w:b/>
          <w:kern w:val="30"/>
          <w:sz w:val="32"/>
          <w:szCs w:val="32"/>
        </w:rPr>
        <w:t>3.</w:t>
      </w:r>
      <w:r>
        <w:rPr>
          <w:rFonts w:ascii="仿宋_GB2312" w:eastAsia="仿宋_GB2312" w:hAnsi="宋体" w:cs="Times New Roman" w:hint="eastAsia"/>
          <w:b/>
          <w:kern w:val="30"/>
          <w:sz w:val="32"/>
          <w:szCs w:val="32"/>
        </w:rPr>
        <w:t>联合发布</w:t>
      </w:r>
      <w:r>
        <w:rPr>
          <w:rFonts w:ascii="仿宋_GB2312" w:eastAsia="仿宋_GB2312" w:hAnsi="宋体" w:cs="Times New Roman"/>
          <w:b/>
          <w:kern w:val="30"/>
          <w:sz w:val="32"/>
          <w:szCs w:val="32"/>
        </w:rPr>
        <w:t>项目立项约</w:t>
      </w:r>
      <w:r>
        <w:rPr>
          <w:rFonts w:ascii="仿宋_GB2312" w:eastAsia="仿宋_GB2312" w:hAnsi="宋体" w:cs="Times New Roman" w:hint="eastAsia"/>
          <w:b/>
          <w:kern w:val="30"/>
          <w:sz w:val="32"/>
          <w:szCs w:val="32"/>
        </w:rPr>
        <w:t>10</w:t>
      </w:r>
      <w:r>
        <w:rPr>
          <w:rFonts w:ascii="仿宋_GB2312" w:eastAsia="仿宋_GB2312" w:hAnsi="宋体" w:cs="Times New Roman" w:hint="eastAsia"/>
          <w:b/>
          <w:kern w:val="30"/>
          <w:sz w:val="32"/>
          <w:szCs w:val="32"/>
        </w:rPr>
        <w:t>项，由</w:t>
      </w:r>
      <w:r>
        <w:rPr>
          <w:rFonts w:ascii="仿宋_GB2312" w:eastAsia="仿宋_GB2312" w:hAnsi="宋体" w:cs="Times New Roman"/>
          <w:b/>
          <w:kern w:val="30"/>
          <w:sz w:val="32"/>
          <w:szCs w:val="32"/>
        </w:rPr>
        <w:t>成都市社科</w:t>
      </w:r>
      <w:r>
        <w:rPr>
          <w:rFonts w:ascii="仿宋_GB2312" w:eastAsia="仿宋_GB2312" w:hAnsi="宋体" w:cs="Times New Roman" w:hint="eastAsia"/>
          <w:b/>
          <w:kern w:val="30"/>
          <w:sz w:val="32"/>
          <w:szCs w:val="32"/>
        </w:rPr>
        <w:t>规划办与</w:t>
      </w:r>
      <w:r>
        <w:rPr>
          <w:rFonts w:ascii="仿宋_GB2312" w:eastAsia="仿宋_GB2312" w:hAnsi="宋体" w:cs="Times New Roman"/>
          <w:b/>
          <w:kern w:val="30"/>
          <w:sz w:val="32"/>
          <w:szCs w:val="32"/>
        </w:rPr>
        <w:t>成都大学天府文化研究院共同发布</w:t>
      </w:r>
      <w:r>
        <w:rPr>
          <w:rFonts w:ascii="仿宋_GB2312" w:eastAsia="仿宋_GB2312" w:hAnsi="宋体" w:cs="Times New Roman" w:hint="eastAsia"/>
          <w:b/>
          <w:kern w:val="30"/>
          <w:sz w:val="32"/>
          <w:szCs w:val="32"/>
        </w:rPr>
        <w:t>，最终</w:t>
      </w:r>
      <w:r>
        <w:rPr>
          <w:rFonts w:ascii="仿宋_GB2312" w:eastAsia="仿宋_GB2312" w:hAnsi="宋体" w:cs="Times New Roman"/>
          <w:b/>
          <w:kern w:val="30"/>
          <w:sz w:val="32"/>
          <w:szCs w:val="32"/>
        </w:rPr>
        <w:t>成果形式为</w:t>
      </w:r>
      <w:r>
        <w:rPr>
          <w:rFonts w:ascii="仿宋_GB2312" w:eastAsia="仿宋_GB2312" w:hAnsi="宋体" w:cs="Times New Roman" w:hint="eastAsia"/>
          <w:b/>
          <w:kern w:val="30"/>
          <w:sz w:val="32"/>
          <w:szCs w:val="32"/>
        </w:rPr>
        <w:t>论文、研究报告</w:t>
      </w:r>
      <w:r>
        <w:rPr>
          <w:rFonts w:ascii="仿宋_GB2312" w:eastAsia="仿宋_GB2312" w:hAnsi="宋体" w:cs="Times New Roman"/>
          <w:b/>
          <w:kern w:val="30"/>
          <w:sz w:val="32"/>
          <w:szCs w:val="32"/>
        </w:rPr>
        <w:t>，</w:t>
      </w:r>
      <w:r>
        <w:rPr>
          <w:rFonts w:ascii="仿宋_GB2312" w:eastAsia="仿宋_GB2312" w:hAnsi="宋体" w:cs="Times New Roman" w:hint="eastAsia"/>
          <w:b/>
          <w:kern w:val="30"/>
          <w:sz w:val="32"/>
          <w:szCs w:val="32"/>
        </w:rPr>
        <w:t>每项资助</w:t>
      </w:r>
      <w:r>
        <w:rPr>
          <w:rFonts w:ascii="仿宋_GB2312" w:eastAsia="仿宋_GB2312" w:hAnsi="宋体" w:cs="Times New Roman"/>
          <w:b/>
          <w:kern w:val="30"/>
          <w:sz w:val="32"/>
          <w:szCs w:val="32"/>
        </w:rPr>
        <w:t>经费为</w:t>
      </w:r>
      <w:r>
        <w:rPr>
          <w:rFonts w:ascii="仿宋_GB2312" w:eastAsia="仿宋_GB2312" w:hAnsi="宋体" w:cs="Times New Roman" w:hint="eastAsia"/>
          <w:b/>
          <w:kern w:val="30"/>
          <w:sz w:val="32"/>
          <w:szCs w:val="32"/>
        </w:rPr>
        <w:t>4</w:t>
      </w:r>
      <w:r>
        <w:rPr>
          <w:rFonts w:ascii="仿宋_GB2312" w:eastAsia="仿宋_GB2312" w:hAnsi="宋体" w:cs="Times New Roman" w:hint="eastAsia"/>
          <w:b/>
          <w:kern w:val="30"/>
          <w:sz w:val="32"/>
          <w:szCs w:val="32"/>
        </w:rPr>
        <w:t>万</w:t>
      </w:r>
      <w:r>
        <w:rPr>
          <w:rFonts w:ascii="仿宋_GB2312" w:eastAsia="仿宋_GB2312" w:hAnsi="宋体" w:cs="Times New Roman"/>
          <w:b/>
          <w:kern w:val="30"/>
          <w:sz w:val="32"/>
          <w:szCs w:val="32"/>
        </w:rPr>
        <w:t>元，完成时</w:t>
      </w:r>
      <w:bookmarkStart w:id="0" w:name="_GoBack"/>
      <w:bookmarkEnd w:id="0"/>
      <w:r>
        <w:rPr>
          <w:rFonts w:ascii="仿宋_GB2312" w:eastAsia="仿宋_GB2312" w:hAnsi="宋体" w:cs="Times New Roman"/>
          <w:b/>
          <w:kern w:val="30"/>
          <w:sz w:val="32"/>
          <w:szCs w:val="32"/>
        </w:rPr>
        <w:t>限为</w:t>
      </w:r>
      <w:r>
        <w:rPr>
          <w:rFonts w:ascii="仿宋_GB2312" w:eastAsia="仿宋_GB2312" w:hAnsi="宋体" w:cs="Times New Roman" w:hint="eastAsia"/>
          <w:b/>
          <w:kern w:val="30"/>
          <w:sz w:val="32"/>
          <w:szCs w:val="32"/>
        </w:rPr>
        <w:t>2018</w:t>
      </w:r>
      <w:r>
        <w:rPr>
          <w:rFonts w:ascii="仿宋_GB2312" w:eastAsia="仿宋_GB2312" w:hAnsi="宋体" w:cs="Times New Roman" w:hint="eastAsia"/>
          <w:b/>
          <w:kern w:val="30"/>
          <w:sz w:val="32"/>
          <w:szCs w:val="32"/>
        </w:rPr>
        <w:t>年</w:t>
      </w:r>
      <w:r>
        <w:rPr>
          <w:rFonts w:ascii="仿宋_GB2312" w:eastAsia="仿宋_GB2312" w:hAnsi="宋体" w:cs="Times New Roman" w:hint="eastAsia"/>
          <w:b/>
          <w:kern w:val="30"/>
          <w:sz w:val="32"/>
          <w:szCs w:val="32"/>
        </w:rPr>
        <w:t>12</w:t>
      </w:r>
      <w:r>
        <w:rPr>
          <w:rFonts w:ascii="仿宋_GB2312" w:eastAsia="仿宋_GB2312" w:hAnsi="宋体" w:cs="Times New Roman" w:hint="eastAsia"/>
          <w:b/>
          <w:kern w:val="30"/>
          <w:sz w:val="32"/>
          <w:szCs w:val="32"/>
        </w:rPr>
        <w:t>月底前</w:t>
      </w:r>
      <w:r>
        <w:rPr>
          <w:rFonts w:ascii="仿宋_GB2312" w:eastAsia="仿宋_GB2312" w:hAnsi="宋体" w:cs="Times New Roman"/>
          <w:b/>
          <w:kern w:val="30"/>
          <w:sz w:val="32"/>
          <w:szCs w:val="32"/>
        </w:rPr>
        <w:t>，结项要求为专家评审。</w:t>
      </w:r>
    </w:p>
    <w:p w:rsidR="00FB05AC" w:rsidRDefault="00C73691">
      <w:pPr>
        <w:spacing w:line="540" w:lineRule="exact"/>
        <w:ind w:firstLineChars="200" w:firstLine="640"/>
        <w:rPr>
          <w:rFonts w:ascii="仿宋_GB2312" w:eastAsia="仿宋_GB2312" w:hAnsi="宋体" w:cs="Times New Roman"/>
          <w:kern w:val="30"/>
          <w:sz w:val="32"/>
          <w:szCs w:val="32"/>
        </w:rPr>
      </w:pPr>
      <w:r>
        <w:rPr>
          <w:rFonts w:ascii="仿宋_GB2312" w:eastAsia="仿宋_GB2312" w:hAnsi="宋体" w:cs="Times New Roman" w:hint="eastAsia"/>
          <w:kern w:val="30"/>
          <w:sz w:val="32"/>
          <w:szCs w:val="32"/>
        </w:rPr>
        <w:t>三、本年度重点</w:t>
      </w:r>
      <w:r>
        <w:rPr>
          <w:rFonts w:ascii="仿宋_GB2312" w:eastAsia="仿宋_GB2312" w:hAnsi="宋体" w:cs="Times New Roman"/>
          <w:kern w:val="30"/>
          <w:sz w:val="32"/>
          <w:szCs w:val="32"/>
        </w:rPr>
        <w:t>项目可</w:t>
      </w:r>
      <w:r>
        <w:rPr>
          <w:rFonts w:ascii="仿宋_GB2312" w:eastAsia="仿宋_GB2312" w:hAnsi="宋体" w:cs="Times New Roman" w:hint="eastAsia"/>
          <w:kern w:val="30"/>
          <w:sz w:val="32"/>
          <w:szCs w:val="32"/>
        </w:rPr>
        <w:t>在指南范围自拟</w:t>
      </w:r>
      <w:r>
        <w:rPr>
          <w:rFonts w:ascii="仿宋_GB2312" w:eastAsia="仿宋_GB2312" w:hAnsi="宋体" w:cs="Times New Roman"/>
          <w:kern w:val="30"/>
          <w:sz w:val="32"/>
          <w:szCs w:val="32"/>
        </w:rPr>
        <w:t>题目；一般项目</w:t>
      </w:r>
      <w:r>
        <w:rPr>
          <w:rFonts w:ascii="仿宋_GB2312" w:eastAsia="仿宋_GB2312" w:hAnsi="宋体" w:cs="Times New Roman" w:hint="eastAsia"/>
          <w:kern w:val="30"/>
          <w:sz w:val="32"/>
          <w:szCs w:val="32"/>
        </w:rPr>
        <w:t>自拟题目的资助项目不超过总申报数的</w:t>
      </w:r>
      <w:r>
        <w:rPr>
          <w:rFonts w:ascii="仿宋_GB2312" w:eastAsia="仿宋_GB2312" w:hAnsi="宋体" w:cs="Times New Roman" w:hint="eastAsia"/>
          <w:kern w:val="30"/>
          <w:sz w:val="32"/>
          <w:szCs w:val="32"/>
        </w:rPr>
        <w:t>20%</w:t>
      </w:r>
      <w:r>
        <w:rPr>
          <w:rFonts w:ascii="仿宋_GB2312" w:eastAsia="仿宋_GB2312" w:hAnsi="宋体" w:cs="Times New Roman" w:hint="eastAsia"/>
          <w:kern w:val="30"/>
          <w:sz w:val="32"/>
          <w:szCs w:val="32"/>
        </w:rPr>
        <w:t>。申报项目应力</w:t>
      </w:r>
      <w:r>
        <w:rPr>
          <w:rFonts w:ascii="仿宋_GB2312" w:eastAsia="仿宋_GB2312" w:hAnsi="宋体" w:cs="Times New Roman" w:hint="eastAsia"/>
          <w:kern w:val="30"/>
          <w:sz w:val="32"/>
          <w:szCs w:val="32"/>
        </w:rPr>
        <w:lastRenderedPageBreak/>
        <w:t>求具有原创性、开拓性、现实性，避免低水平重复研究。</w:t>
      </w:r>
    </w:p>
    <w:p w:rsidR="00FB05AC" w:rsidRDefault="00C73691">
      <w:pPr>
        <w:spacing w:line="540" w:lineRule="exact"/>
        <w:ind w:firstLineChars="200" w:firstLine="640"/>
        <w:rPr>
          <w:rFonts w:ascii="仿宋_GB2312" w:eastAsia="仿宋_GB2312" w:hAnsi="宋体" w:cs="Times New Roman"/>
          <w:kern w:val="30"/>
          <w:sz w:val="32"/>
          <w:szCs w:val="32"/>
        </w:rPr>
      </w:pPr>
      <w:r>
        <w:rPr>
          <w:rFonts w:ascii="仿宋_GB2312" w:eastAsia="仿宋_GB2312" w:hAnsi="宋体" w:cs="Times New Roman" w:hint="eastAsia"/>
          <w:kern w:val="30"/>
          <w:sz w:val="32"/>
          <w:szCs w:val="32"/>
        </w:rPr>
        <w:t>四、申报程序：凡在成都地区的高校、党校、科研院（所）和市属各学会</w:t>
      </w:r>
      <w:r>
        <w:rPr>
          <w:rFonts w:ascii="仿宋_GB2312" w:eastAsia="仿宋_GB2312" w:hAnsi="宋体" w:cs="Times New Roman" w:hint="eastAsia"/>
          <w:kern w:val="30"/>
          <w:sz w:val="32"/>
          <w:szCs w:val="32"/>
        </w:rPr>
        <w:t>(</w:t>
      </w:r>
      <w:r>
        <w:rPr>
          <w:rFonts w:ascii="仿宋_GB2312" w:eastAsia="仿宋_GB2312" w:hAnsi="宋体" w:cs="Times New Roman" w:hint="eastAsia"/>
          <w:kern w:val="30"/>
          <w:sz w:val="32"/>
          <w:szCs w:val="32"/>
        </w:rPr>
        <w:t>协会、研究会</w:t>
      </w:r>
      <w:r>
        <w:rPr>
          <w:rFonts w:ascii="仿宋_GB2312" w:eastAsia="仿宋_GB2312" w:hAnsi="宋体" w:cs="Times New Roman" w:hint="eastAsia"/>
          <w:kern w:val="30"/>
          <w:sz w:val="32"/>
          <w:szCs w:val="32"/>
        </w:rPr>
        <w:t>)</w:t>
      </w:r>
      <w:r>
        <w:rPr>
          <w:rFonts w:ascii="仿宋_GB2312" w:eastAsia="仿宋_GB2312" w:hAnsi="宋体" w:cs="Times New Roman" w:hint="eastAsia"/>
          <w:kern w:val="30"/>
          <w:sz w:val="32"/>
          <w:szCs w:val="32"/>
        </w:rPr>
        <w:t>、区（市）县社科联、党政机关、实际工作部门、军队的理论工作者或单位，均可申报。个人申报者所在单位，要对申报人能否胜任该项目研究工作在申报表上签署明确意见。</w:t>
      </w:r>
    </w:p>
    <w:p w:rsidR="00FB05AC" w:rsidRDefault="00C73691">
      <w:pPr>
        <w:spacing w:line="540" w:lineRule="exact"/>
        <w:ind w:firstLineChars="200" w:firstLine="640"/>
        <w:rPr>
          <w:rFonts w:ascii="仿宋_GB2312" w:eastAsia="仿宋_GB2312" w:hAnsi="宋体" w:cs="Times New Roman"/>
          <w:kern w:val="30"/>
          <w:sz w:val="32"/>
          <w:szCs w:val="32"/>
        </w:rPr>
      </w:pPr>
      <w:r>
        <w:rPr>
          <w:rFonts w:ascii="仿宋_GB2312" w:eastAsia="仿宋_GB2312" w:hAnsi="宋体" w:cs="Times New Roman" w:hint="eastAsia"/>
          <w:kern w:val="30"/>
          <w:sz w:val="32"/>
          <w:szCs w:val="32"/>
        </w:rPr>
        <w:t>五、结项通知和要求将另行发送。立项的项目最终成果出版</w:t>
      </w:r>
      <w:r>
        <w:rPr>
          <w:rFonts w:ascii="仿宋_GB2312" w:eastAsia="仿宋_GB2312" w:hAnsi="宋体" w:cs="Times New Roman" w:hint="eastAsia"/>
          <w:kern w:val="30"/>
          <w:sz w:val="32"/>
          <w:szCs w:val="32"/>
        </w:rPr>
        <w:t>.</w:t>
      </w:r>
      <w:r>
        <w:rPr>
          <w:rFonts w:ascii="仿宋_GB2312" w:eastAsia="仿宋_GB2312" w:hAnsi="宋体" w:cs="Times New Roman" w:hint="eastAsia"/>
          <w:kern w:val="30"/>
          <w:sz w:val="32"/>
          <w:szCs w:val="32"/>
        </w:rPr>
        <w:t>发表或向有关单位报送时，都必须在醒目位置注明“成都市哲学社会科学规划项目</w:t>
      </w:r>
      <w:r>
        <w:rPr>
          <w:rFonts w:ascii="仿宋_GB2312" w:eastAsia="仿宋_GB2312" w:hAnsi="宋体" w:cs="Times New Roman" w:hint="eastAsia"/>
          <w:kern w:val="30"/>
          <w:sz w:val="32"/>
          <w:szCs w:val="32"/>
        </w:rPr>
        <w:t xml:space="preserve"> </w:t>
      </w:r>
      <w:r>
        <w:rPr>
          <w:rFonts w:ascii="仿宋_GB2312" w:eastAsia="仿宋_GB2312" w:hAnsi="宋体" w:cs="Times New Roman" w:hint="eastAsia"/>
          <w:kern w:val="30"/>
          <w:sz w:val="32"/>
          <w:szCs w:val="32"/>
        </w:rPr>
        <w:t>项目编号</w:t>
      </w:r>
      <w:r>
        <w:rPr>
          <w:rFonts w:ascii="仿宋_GB2312" w:eastAsia="仿宋_GB2312" w:hAnsi="宋体" w:cs="Times New Roman" w:hint="eastAsia"/>
          <w:kern w:val="30"/>
          <w:sz w:val="32"/>
          <w:szCs w:val="32"/>
        </w:rPr>
        <w:t>xxx</w:t>
      </w:r>
      <w:r>
        <w:rPr>
          <w:rFonts w:ascii="仿宋_GB2312" w:eastAsia="仿宋_GB2312" w:hAnsi="宋体" w:cs="Times New Roman" w:hint="eastAsia"/>
          <w:kern w:val="30"/>
          <w:sz w:val="32"/>
          <w:szCs w:val="32"/>
        </w:rPr>
        <w:t>”字样。</w:t>
      </w:r>
    </w:p>
    <w:p w:rsidR="00FB05AC" w:rsidRDefault="00C73691">
      <w:pPr>
        <w:spacing w:line="540" w:lineRule="exact"/>
        <w:ind w:firstLineChars="200" w:firstLine="640"/>
        <w:rPr>
          <w:rFonts w:ascii="仿宋_GB2312" w:eastAsia="仿宋_GB2312" w:hAnsi="宋体" w:cs="Times New Roman"/>
          <w:kern w:val="30"/>
          <w:sz w:val="32"/>
          <w:szCs w:val="32"/>
        </w:rPr>
      </w:pPr>
      <w:r>
        <w:rPr>
          <w:rFonts w:ascii="仿宋_GB2312" w:eastAsia="仿宋_GB2312" w:hAnsi="宋体" w:cs="Times New Roman" w:hint="eastAsia"/>
          <w:kern w:val="30"/>
          <w:sz w:val="32"/>
          <w:szCs w:val="32"/>
        </w:rPr>
        <w:t>六、以往年度成都市哲学社会科学规划项目未结项的申报者不得申报。</w:t>
      </w:r>
    </w:p>
    <w:p w:rsidR="00FB05AC" w:rsidRDefault="00FB05AC">
      <w:pPr>
        <w:spacing w:line="540" w:lineRule="exact"/>
        <w:ind w:firstLineChars="200" w:firstLine="640"/>
        <w:rPr>
          <w:rFonts w:ascii="仿宋_GB2312" w:eastAsia="仿宋_GB2312" w:hAnsi="宋体" w:cs="Times New Roman"/>
          <w:kern w:val="30"/>
          <w:sz w:val="32"/>
          <w:szCs w:val="32"/>
        </w:rPr>
      </w:pPr>
    </w:p>
    <w:p w:rsidR="00FB05AC" w:rsidRDefault="00FB05AC">
      <w:pPr>
        <w:spacing w:line="540" w:lineRule="exact"/>
        <w:ind w:firstLineChars="200" w:firstLine="640"/>
        <w:rPr>
          <w:rFonts w:ascii="仿宋_GB2312" w:eastAsia="仿宋_GB2312" w:hAnsi="宋体" w:cs="Times New Roman"/>
          <w:kern w:val="30"/>
          <w:sz w:val="32"/>
          <w:szCs w:val="32"/>
        </w:rPr>
      </w:pPr>
    </w:p>
    <w:p w:rsidR="00FB05AC" w:rsidRDefault="00C73691">
      <w:pPr>
        <w:spacing w:line="540" w:lineRule="exact"/>
        <w:ind w:right="300" w:firstLineChars="350" w:firstLine="1120"/>
        <w:jc w:val="right"/>
        <w:rPr>
          <w:rFonts w:ascii="仿宋_GB2312" w:eastAsia="仿宋_GB2312" w:hAnsi="宋体" w:cs="Times New Roman"/>
          <w:kern w:val="30"/>
          <w:sz w:val="32"/>
          <w:szCs w:val="32"/>
        </w:rPr>
      </w:pPr>
      <w:r>
        <w:rPr>
          <w:rFonts w:ascii="仿宋_GB2312" w:eastAsia="仿宋_GB2312" w:hAnsi="宋体" w:cs="Times New Roman" w:hint="eastAsia"/>
          <w:kern w:val="30"/>
          <w:sz w:val="32"/>
          <w:szCs w:val="32"/>
        </w:rPr>
        <w:t>成都市哲学社会科学</w:t>
      </w:r>
      <w:r>
        <w:rPr>
          <w:rFonts w:ascii="仿宋_GB2312" w:eastAsia="仿宋_GB2312" w:hAnsi="宋体" w:cs="Times New Roman"/>
          <w:kern w:val="30"/>
          <w:sz w:val="32"/>
          <w:szCs w:val="32"/>
        </w:rPr>
        <w:t>规划</w:t>
      </w:r>
      <w:r>
        <w:rPr>
          <w:rFonts w:ascii="仿宋_GB2312" w:eastAsia="仿宋_GB2312" w:hAnsi="宋体" w:cs="Times New Roman" w:hint="eastAsia"/>
          <w:kern w:val="30"/>
          <w:sz w:val="32"/>
          <w:szCs w:val="32"/>
        </w:rPr>
        <w:t>办公室</w:t>
      </w:r>
      <w:r>
        <w:rPr>
          <w:rFonts w:ascii="仿宋_GB2312" w:eastAsia="仿宋_GB2312" w:hAnsi="宋体" w:cs="Times New Roman" w:hint="eastAsia"/>
          <w:kern w:val="30"/>
          <w:sz w:val="32"/>
          <w:szCs w:val="32"/>
        </w:rPr>
        <w:t xml:space="preserve">              </w:t>
      </w:r>
      <w:r>
        <w:rPr>
          <w:rFonts w:ascii="仿宋_GB2312" w:eastAsia="仿宋_GB2312" w:hAnsi="宋体" w:cs="Times New Roman" w:hint="eastAsia"/>
          <w:kern w:val="30"/>
          <w:sz w:val="32"/>
          <w:szCs w:val="32"/>
        </w:rPr>
        <w:t xml:space="preserve">                    201</w:t>
      </w:r>
      <w:r>
        <w:rPr>
          <w:rFonts w:ascii="仿宋_GB2312" w:eastAsia="仿宋_GB2312" w:hAnsi="宋体" w:cs="Times New Roman" w:hint="eastAsia"/>
          <w:kern w:val="30"/>
          <w:sz w:val="32"/>
          <w:szCs w:val="32"/>
        </w:rPr>
        <w:t>8</w:t>
      </w:r>
      <w:r>
        <w:rPr>
          <w:rFonts w:ascii="仿宋_GB2312" w:eastAsia="仿宋_GB2312" w:hAnsi="宋体" w:cs="Times New Roman" w:hint="eastAsia"/>
          <w:kern w:val="30"/>
          <w:sz w:val="32"/>
          <w:szCs w:val="32"/>
        </w:rPr>
        <w:t>年</w:t>
      </w:r>
      <w:r>
        <w:rPr>
          <w:rFonts w:ascii="仿宋_GB2312" w:eastAsia="仿宋_GB2312" w:hAnsi="宋体" w:cs="Times New Roman"/>
          <w:kern w:val="30"/>
          <w:sz w:val="32"/>
          <w:szCs w:val="32"/>
        </w:rPr>
        <w:t>3</w:t>
      </w:r>
      <w:r>
        <w:rPr>
          <w:rFonts w:ascii="仿宋_GB2312" w:eastAsia="仿宋_GB2312" w:hAnsi="宋体" w:cs="Times New Roman" w:hint="eastAsia"/>
          <w:kern w:val="30"/>
          <w:sz w:val="32"/>
          <w:szCs w:val="32"/>
        </w:rPr>
        <w:t>月</w:t>
      </w:r>
      <w:r>
        <w:rPr>
          <w:rFonts w:ascii="仿宋_GB2312" w:eastAsia="仿宋_GB2312" w:hAnsi="宋体" w:cs="Times New Roman" w:hint="eastAsia"/>
          <w:kern w:val="30"/>
          <w:sz w:val="32"/>
          <w:szCs w:val="32"/>
        </w:rPr>
        <w:t>13</w:t>
      </w:r>
      <w:r>
        <w:rPr>
          <w:rFonts w:ascii="仿宋_GB2312" w:eastAsia="仿宋_GB2312" w:hAnsi="宋体" w:cs="Times New Roman" w:hint="eastAsia"/>
          <w:kern w:val="30"/>
          <w:sz w:val="32"/>
          <w:szCs w:val="32"/>
        </w:rPr>
        <w:t>日</w:t>
      </w:r>
      <w:r>
        <w:rPr>
          <w:rFonts w:ascii="仿宋_GB2312" w:eastAsia="仿宋_GB2312" w:hAnsi="宋体" w:cs="Times New Roman" w:hint="eastAsia"/>
          <w:kern w:val="30"/>
          <w:sz w:val="32"/>
          <w:szCs w:val="32"/>
        </w:rPr>
        <w:t xml:space="preserve"> </w:t>
      </w:r>
    </w:p>
    <w:p w:rsidR="00FB05AC" w:rsidRDefault="00FB05AC">
      <w:pPr>
        <w:ind w:firstLine="437"/>
        <w:jc w:val="right"/>
        <w:rPr>
          <w:rFonts w:ascii="Times New Roman" w:eastAsia="宋体" w:hAnsi="Times New Roman" w:cs="Times New Roman"/>
          <w:sz w:val="28"/>
          <w:szCs w:val="24"/>
        </w:rPr>
      </w:pPr>
    </w:p>
    <w:p w:rsidR="00FB05AC" w:rsidRDefault="00FB05AC">
      <w:pPr>
        <w:jc w:val="center"/>
        <w:rPr>
          <w:rFonts w:ascii="黑体" w:eastAsia="黑体" w:hAnsi="Times New Roman" w:cs="Times New Roman"/>
          <w:sz w:val="44"/>
          <w:szCs w:val="44"/>
        </w:rPr>
      </w:pPr>
    </w:p>
    <w:p w:rsidR="00FB05AC" w:rsidRDefault="00FB05AC">
      <w:pPr>
        <w:spacing w:line="700" w:lineRule="exact"/>
        <w:jc w:val="center"/>
        <w:rPr>
          <w:rFonts w:ascii="黑体" w:eastAsia="黑体" w:hAnsi="Calibri" w:cs="Times New Roman"/>
          <w:sz w:val="44"/>
          <w:szCs w:val="44"/>
        </w:rPr>
      </w:pPr>
    </w:p>
    <w:p w:rsidR="00FB05AC" w:rsidRDefault="00FB05AC">
      <w:pPr>
        <w:spacing w:line="700" w:lineRule="exact"/>
        <w:jc w:val="center"/>
        <w:rPr>
          <w:rFonts w:ascii="黑体" w:eastAsia="黑体" w:hAnsi="Calibri" w:cs="Times New Roman"/>
          <w:sz w:val="44"/>
          <w:szCs w:val="44"/>
        </w:rPr>
      </w:pPr>
    </w:p>
    <w:p w:rsidR="00FB05AC" w:rsidRDefault="00FB05AC">
      <w:pPr>
        <w:spacing w:line="700" w:lineRule="exact"/>
        <w:jc w:val="center"/>
        <w:rPr>
          <w:rFonts w:ascii="黑体" w:eastAsia="黑体" w:hAnsi="Calibri" w:cs="Times New Roman"/>
          <w:sz w:val="44"/>
          <w:szCs w:val="44"/>
        </w:rPr>
      </w:pPr>
    </w:p>
    <w:p w:rsidR="00FB05AC" w:rsidRDefault="00FB05AC">
      <w:pPr>
        <w:spacing w:line="700" w:lineRule="exact"/>
        <w:jc w:val="center"/>
        <w:rPr>
          <w:rFonts w:ascii="黑体" w:eastAsia="黑体" w:hAnsi="Calibri" w:cs="Times New Roman"/>
          <w:sz w:val="44"/>
          <w:szCs w:val="44"/>
        </w:rPr>
      </w:pPr>
    </w:p>
    <w:p w:rsidR="00FB05AC" w:rsidRDefault="00FB05AC">
      <w:pPr>
        <w:spacing w:line="700" w:lineRule="exact"/>
        <w:jc w:val="center"/>
        <w:rPr>
          <w:rFonts w:ascii="黑体" w:eastAsia="黑体" w:hAnsi="Calibri" w:cs="Times New Roman"/>
          <w:sz w:val="44"/>
          <w:szCs w:val="44"/>
        </w:rPr>
      </w:pPr>
    </w:p>
    <w:p w:rsidR="00FB05AC" w:rsidRDefault="00FB05AC">
      <w:pPr>
        <w:spacing w:line="700" w:lineRule="exact"/>
        <w:jc w:val="center"/>
        <w:rPr>
          <w:rFonts w:ascii="黑体" w:eastAsia="黑体" w:hAnsi="Calibri" w:cs="Times New Roman"/>
          <w:sz w:val="44"/>
          <w:szCs w:val="44"/>
        </w:rPr>
      </w:pPr>
    </w:p>
    <w:p w:rsidR="00FB05AC" w:rsidRDefault="00C73691">
      <w:pPr>
        <w:spacing w:line="700" w:lineRule="exact"/>
        <w:jc w:val="center"/>
        <w:rPr>
          <w:rFonts w:ascii="黑体" w:eastAsia="黑体" w:hAnsi="Calibri" w:cs="Times New Roman"/>
          <w:sz w:val="44"/>
          <w:szCs w:val="44"/>
        </w:rPr>
      </w:pPr>
      <w:r>
        <w:rPr>
          <w:rFonts w:ascii="黑体" w:eastAsia="黑体" w:hAnsi="Calibri" w:cs="Times New Roman" w:hint="eastAsia"/>
          <w:sz w:val="44"/>
          <w:szCs w:val="44"/>
        </w:rPr>
        <w:lastRenderedPageBreak/>
        <w:t>项目研究指南</w:t>
      </w:r>
    </w:p>
    <w:p w:rsidR="00FB05AC" w:rsidRDefault="00FB05AC">
      <w:pPr>
        <w:spacing w:line="700" w:lineRule="exact"/>
        <w:jc w:val="center"/>
        <w:rPr>
          <w:rFonts w:ascii="华文中宋" w:eastAsia="华文中宋" w:hAnsi="华文中宋" w:cs="华文中宋"/>
          <w:bCs/>
          <w:sz w:val="44"/>
          <w:szCs w:val="44"/>
        </w:rPr>
      </w:pPr>
    </w:p>
    <w:p w:rsidR="00FB05AC" w:rsidRDefault="00C73691">
      <w:pPr>
        <w:spacing w:line="700" w:lineRule="exact"/>
        <w:jc w:val="left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一</w:t>
      </w:r>
      <w:r>
        <w:rPr>
          <w:rFonts w:ascii="黑体" w:eastAsia="黑体" w:hAnsi="黑体" w:cs="黑体"/>
          <w:sz w:val="36"/>
          <w:szCs w:val="36"/>
        </w:rPr>
        <w:t>、重点</w:t>
      </w:r>
      <w:r>
        <w:rPr>
          <w:rFonts w:ascii="黑体" w:eastAsia="黑体" w:hAnsi="黑体" w:cs="黑体" w:hint="eastAsia"/>
          <w:sz w:val="36"/>
          <w:szCs w:val="36"/>
        </w:rPr>
        <w:t>项目</w:t>
      </w:r>
      <w:r>
        <w:rPr>
          <w:rFonts w:ascii="黑体" w:eastAsia="黑体" w:hAnsi="黑体" w:cs="黑体"/>
          <w:sz w:val="36"/>
          <w:szCs w:val="36"/>
        </w:rPr>
        <w:t>指南</w:t>
      </w:r>
    </w:p>
    <w:p w:rsidR="00FB05AC" w:rsidRDefault="00C73691">
      <w:pPr>
        <w:numPr>
          <w:ilvl w:val="0"/>
          <w:numId w:val="1"/>
        </w:numPr>
        <w:spacing w:line="59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成都</w:t>
      </w:r>
      <w:r>
        <w:rPr>
          <w:rFonts w:ascii="仿宋" w:eastAsia="仿宋" w:hAnsi="仿宋" w:cs="仿宋"/>
          <w:sz w:val="32"/>
          <w:szCs w:val="32"/>
        </w:rPr>
        <w:t>改革开放四十年理论与实践研究</w:t>
      </w:r>
    </w:p>
    <w:p w:rsidR="00FB05AC" w:rsidRDefault="00C73691">
      <w:pPr>
        <w:numPr>
          <w:ilvl w:val="0"/>
          <w:numId w:val="1"/>
        </w:numPr>
        <w:spacing w:line="59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新时代</w:t>
      </w:r>
      <w:r>
        <w:rPr>
          <w:rFonts w:ascii="仿宋" w:eastAsia="仿宋" w:hAnsi="仿宋" w:cs="仿宋"/>
          <w:sz w:val="32"/>
          <w:szCs w:val="32"/>
        </w:rPr>
        <w:t>成都</w:t>
      </w:r>
      <w:r>
        <w:rPr>
          <w:rFonts w:ascii="仿宋" w:eastAsia="仿宋" w:hAnsi="仿宋" w:cs="仿宋" w:hint="eastAsia"/>
          <w:sz w:val="32"/>
          <w:szCs w:val="32"/>
        </w:rPr>
        <w:t>发展</w:t>
      </w:r>
      <w:r>
        <w:rPr>
          <w:rFonts w:ascii="仿宋" w:eastAsia="仿宋" w:hAnsi="仿宋" w:cs="仿宋"/>
          <w:sz w:val="32"/>
          <w:szCs w:val="32"/>
        </w:rPr>
        <w:t>不平衡不充分问题研究</w:t>
      </w:r>
    </w:p>
    <w:p w:rsidR="00FB05AC" w:rsidRDefault="00C73691">
      <w:pPr>
        <w:numPr>
          <w:ilvl w:val="0"/>
          <w:numId w:val="1"/>
        </w:numPr>
        <w:spacing w:line="59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成都建设可持续发展世界城市</w:t>
      </w:r>
      <w:r>
        <w:rPr>
          <w:rFonts w:ascii="仿宋" w:eastAsia="仿宋" w:hAnsi="仿宋" w:cs="仿宋"/>
          <w:sz w:val="32"/>
          <w:szCs w:val="32"/>
        </w:rPr>
        <w:t>比较研究</w:t>
      </w:r>
    </w:p>
    <w:p w:rsidR="00FB05AC" w:rsidRDefault="00C73691">
      <w:pPr>
        <w:numPr>
          <w:ilvl w:val="0"/>
          <w:numId w:val="1"/>
        </w:numPr>
        <w:spacing w:line="59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城市精明增长理论与成都实践研究</w:t>
      </w:r>
    </w:p>
    <w:p w:rsidR="00FB05AC" w:rsidRDefault="00C73691">
      <w:pPr>
        <w:numPr>
          <w:ilvl w:val="0"/>
          <w:numId w:val="1"/>
        </w:numPr>
        <w:spacing w:line="59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成都实现经济高质量发展研究</w:t>
      </w:r>
    </w:p>
    <w:p w:rsidR="00FB05AC" w:rsidRDefault="00C73691">
      <w:pPr>
        <w:numPr>
          <w:ilvl w:val="0"/>
          <w:numId w:val="1"/>
        </w:numPr>
        <w:spacing w:line="59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成都发展新经济培育新动能的理论与实践研究</w:t>
      </w:r>
    </w:p>
    <w:p w:rsidR="00FB05AC" w:rsidRDefault="00C73691">
      <w:pPr>
        <w:numPr>
          <w:ilvl w:val="0"/>
          <w:numId w:val="1"/>
        </w:numPr>
        <w:spacing w:line="59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成都加快发展现代化新经济研究</w:t>
      </w:r>
    </w:p>
    <w:p w:rsidR="00FB05AC" w:rsidRDefault="00C73691">
      <w:pPr>
        <w:numPr>
          <w:ilvl w:val="0"/>
          <w:numId w:val="1"/>
        </w:numPr>
        <w:spacing w:line="59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成都国际门户枢纽城市建设的战略研究</w:t>
      </w:r>
    </w:p>
    <w:p w:rsidR="00FB05AC" w:rsidRDefault="00C73691">
      <w:pPr>
        <w:numPr>
          <w:ilvl w:val="0"/>
          <w:numId w:val="1"/>
        </w:numPr>
        <w:spacing w:line="59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成都深入实施乡村振兴战略推动城乡融合的理论与实践研究</w:t>
      </w:r>
    </w:p>
    <w:p w:rsidR="00FB05AC" w:rsidRDefault="00C73691">
      <w:pPr>
        <w:numPr>
          <w:ilvl w:val="0"/>
          <w:numId w:val="1"/>
        </w:numPr>
        <w:spacing w:line="59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成都实施高标准精准扶贫研究</w:t>
      </w:r>
    </w:p>
    <w:p w:rsidR="00FB05AC" w:rsidRDefault="00C73691">
      <w:pPr>
        <w:numPr>
          <w:ilvl w:val="0"/>
          <w:numId w:val="1"/>
        </w:numPr>
        <w:spacing w:line="59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成都自由贸易试验区创新发展研究</w:t>
      </w:r>
    </w:p>
    <w:p w:rsidR="00FB05AC" w:rsidRDefault="00C73691">
      <w:pPr>
        <w:numPr>
          <w:ilvl w:val="0"/>
          <w:numId w:val="1"/>
        </w:numPr>
        <w:spacing w:line="59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超大中心城市治理与风险管控理论</w:t>
      </w:r>
      <w:r>
        <w:rPr>
          <w:rFonts w:ascii="仿宋" w:eastAsia="仿宋" w:hAnsi="仿宋" w:cs="仿宋"/>
          <w:sz w:val="32"/>
          <w:szCs w:val="32"/>
        </w:rPr>
        <w:t>与实践</w:t>
      </w:r>
      <w:r>
        <w:rPr>
          <w:rFonts w:ascii="仿宋" w:eastAsia="仿宋" w:hAnsi="仿宋" w:cs="仿宋" w:hint="eastAsia"/>
          <w:sz w:val="32"/>
          <w:szCs w:val="32"/>
        </w:rPr>
        <w:t>研究</w:t>
      </w:r>
    </w:p>
    <w:p w:rsidR="00FB05AC" w:rsidRDefault="00C73691">
      <w:pPr>
        <w:numPr>
          <w:ilvl w:val="0"/>
          <w:numId w:val="1"/>
        </w:numPr>
        <w:spacing w:line="59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成都</w:t>
      </w:r>
      <w:r>
        <w:rPr>
          <w:rFonts w:ascii="仿宋" w:eastAsia="仿宋" w:hAnsi="仿宋" w:cs="仿宋"/>
          <w:sz w:val="32"/>
          <w:szCs w:val="32"/>
        </w:rPr>
        <w:t>主</w:t>
      </w:r>
      <w:r>
        <w:rPr>
          <w:rFonts w:ascii="仿宋" w:eastAsia="仿宋" w:hAnsi="仿宋" w:cs="仿宋" w:hint="eastAsia"/>
          <w:sz w:val="32"/>
          <w:szCs w:val="32"/>
        </w:rPr>
        <w:t>体</w:t>
      </w:r>
      <w:r>
        <w:rPr>
          <w:rFonts w:ascii="仿宋" w:eastAsia="仿宋" w:hAnsi="仿宋" w:cs="仿宋"/>
          <w:sz w:val="32"/>
          <w:szCs w:val="32"/>
        </w:rPr>
        <w:t>功能区建设发展研究</w:t>
      </w:r>
    </w:p>
    <w:p w:rsidR="00FB05AC" w:rsidRDefault="00C73691">
      <w:pPr>
        <w:numPr>
          <w:ilvl w:val="0"/>
          <w:numId w:val="1"/>
        </w:numPr>
        <w:spacing w:line="59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成都加快建设美丽宜居</w:t>
      </w:r>
      <w:r>
        <w:rPr>
          <w:rFonts w:ascii="仿宋" w:eastAsia="仿宋" w:hAnsi="仿宋" w:cs="仿宋"/>
          <w:sz w:val="32"/>
          <w:szCs w:val="32"/>
        </w:rPr>
        <w:t>公园</w:t>
      </w:r>
      <w:r>
        <w:rPr>
          <w:rFonts w:ascii="仿宋" w:eastAsia="仿宋" w:hAnsi="仿宋" w:cs="仿宋" w:hint="eastAsia"/>
          <w:sz w:val="32"/>
          <w:szCs w:val="32"/>
        </w:rPr>
        <w:t>城市研究</w:t>
      </w:r>
    </w:p>
    <w:p w:rsidR="00FB05AC" w:rsidRDefault="00C73691">
      <w:pPr>
        <w:numPr>
          <w:ilvl w:val="0"/>
          <w:numId w:val="1"/>
        </w:numPr>
        <w:spacing w:line="59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成都人口</w:t>
      </w:r>
      <w:r>
        <w:rPr>
          <w:rFonts w:ascii="仿宋" w:eastAsia="仿宋" w:hAnsi="仿宋" w:cs="仿宋"/>
          <w:sz w:val="32"/>
          <w:szCs w:val="32"/>
        </w:rPr>
        <w:t>发展战略研究</w:t>
      </w:r>
    </w:p>
    <w:p w:rsidR="00FB05AC" w:rsidRDefault="00C73691">
      <w:pPr>
        <w:numPr>
          <w:ilvl w:val="0"/>
          <w:numId w:val="1"/>
        </w:numPr>
        <w:spacing w:line="59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法治成都、法治政府与法治社会一体建设研究</w:t>
      </w:r>
    </w:p>
    <w:p w:rsidR="00FB05AC" w:rsidRDefault="00C73691">
      <w:pPr>
        <w:numPr>
          <w:ilvl w:val="0"/>
          <w:numId w:val="1"/>
        </w:numPr>
        <w:spacing w:line="59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国家治理现代化背景下成都推进社区发展治理的理论与实践研究</w:t>
      </w:r>
    </w:p>
    <w:p w:rsidR="00FB05AC" w:rsidRDefault="00C73691">
      <w:pPr>
        <w:numPr>
          <w:ilvl w:val="0"/>
          <w:numId w:val="1"/>
        </w:numPr>
        <w:spacing w:line="59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成都传承</w:t>
      </w:r>
      <w:r>
        <w:rPr>
          <w:rFonts w:ascii="仿宋" w:eastAsia="仿宋" w:hAnsi="仿宋" w:cs="仿宋"/>
          <w:sz w:val="32"/>
          <w:szCs w:val="32"/>
        </w:rPr>
        <w:t>巴蜀文明发展</w:t>
      </w:r>
      <w:r>
        <w:rPr>
          <w:rFonts w:ascii="仿宋" w:eastAsia="仿宋" w:hAnsi="仿宋" w:cs="仿宋" w:hint="eastAsia"/>
          <w:sz w:val="32"/>
          <w:szCs w:val="32"/>
        </w:rPr>
        <w:t>天府</w:t>
      </w:r>
      <w:r>
        <w:rPr>
          <w:rFonts w:ascii="仿宋" w:eastAsia="仿宋" w:hAnsi="仿宋" w:cs="仿宋"/>
          <w:sz w:val="32"/>
          <w:szCs w:val="32"/>
        </w:rPr>
        <w:t>文化，建设世界文化名城</w:t>
      </w:r>
      <w:r>
        <w:rPr>
          <w:rFonts w:ascii="仿宋" w:eastAsia="仿宋" w:hAnsi="仿宋" w:cs="仿宋"/>
          <w:sz w:val="32"/>
          <w:szCs w:val="32"/>
        </w:rPr>
        <w:lastRenderedPageBreak/>
        <w:t>研究</w:t>
      </w:r>
    </w:p>
    <w:p w:rsidR="00FB05AC" w:rsidRDefault="00C73691">
      <w:pPr>
        <w:numPr>
          <w:ilvl w:val="0"/>
          <w:numId w:val="1"/>
        </w:numPr>
        <w:spacing w:line="59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成都将社会主义核心价值观融入社会发展各方面研究</w:t>
      </w:r>
    </w:p>
    <w:p w:rsidR="00FB05AC" w:rsidRDefault="00C73691">
      <w:pPr>
        <w:numPr>
          <w:ilvl w:val="0"/>
          <w:numId w:val="1"/>
        </w:numPr>
        <w:spacing w:line="59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新时代加强和改进党的领导，提升治蓉兴蓉能力水平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研究</w:t>
      </w:r>
    </w:p>
    <w:p w:rsidR="00FB05AC" w:rsidRDefault="00C73691">
      <w:pPr>
        <w:spacing w:line="700" w:lineRule="exact"/>
        <w:jc w:val="left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二</w:t>
      </w:r>
      <w:r>
        <w:rPr>
          <w:rFonts w:ascii="黑体" w:eastAsia="黑体" w:hAnsi="黑体" w:cs="黑体"/>
          <w:sz w:val="36"/>
          <w:szCs w:val="36"/>
        </w:rPr>
        <w:t>、一般项目指南</w:t>
      </w:r>
    </w:p>
    <w:p w:rsidR="00FB05AC" w:rsidRDefault="00C73691">
      <w:pPr>
        <w:numPr>
          <w:ilvl w:val="0"/>
          <w:numId w:val="2"/>
        </w:numPr>
        <w:spacing w:line="59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“一带一路”背景下的成渝产业协同发展机制研究</w:t>
      </w:r>
    </w:p>
    <w:p w:rsidR="00FB05AC" w:rsidRDefault="00C73691">
      <w:pPr>
        <w:numPr>
          <w:ilvl w:val="0"/>
          <w:numId w:val="2"/>
        </w:numPr>
        <w:spacing w:line="59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成都大力实施天府国际机场和国际空港新城建设研究</w:t>
      </w:r>
    </w:p>
    <w:p w:rsidR="00FB05AC" w:rsidRDefault="00C73691">
      <w:pPr>
        <w:numPr>
          <w:ilvl w:val="0"/>
          <w:numId w:val="2"/>
        </w:numPr>
        <w:spacing w:line="59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成都弘扬劳模精神和工匠精神研究</w:t>
      </w:r>
    </w:p>
    <w:p w:rsidR="00FB05AC" w:rsidRDefault="00C73691">
      <w:pPr>
        <w:numPr>
          <w:ilvl w:val="0"/>
          <w:numId w:val="2"/>
        </w:numPr>
        <w:spacing w:line="59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成都高水平创新团队培育研究</w:t>
      </w:r>
    </w:p>
    <w:p w:rsidR="00FB05AC" w:rsidRDefault="00C73691">
      <w:pPr>
        <w:numPr>
          <w:ilvl w:val="0"/>
          <w:numId w:val="2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推动我市创新产业链融合发展研究</w:t>
      </w:r>
      <w:r>
        <w:rPr>
          <w:rFonts w:ascii="仿宋" w:eastAsia="仿宋" w:hAnsi="仿宋" w:cs="仿宋" w:hint="eastAsia"/>
          <w:sz w:val="32"/>
          <w:szCs w:val="32"/>
        </w:rPr>
        <w:t>`</w:t>
      </w:r>
    </w:p>
    <w:p w:rsidR="00FB05AC" w:rsidRDefault="00C73691">
      <w:pPr>
        <w:numPr>
          <w:ilvl w:val="0"/>
          <w:numId w:val="2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新时代精准扶贫进程中农村公共服务研究</w:t>
      </w:r>
    </w:p>
    <w:p w:rsidR="00FB05AC" w:rsidRDefault="00C73691">
      <w:pPr>
        <w:numPr>
          <w:ilvl w:val="0"/>
          <w:numId w:val="2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成都市西部金融中心建设中的系统性金融风险预警和防控研究</w:t>
      </w:r>
    </w:p>
    <w:p w:rsidR="00FB05AC" w:rsidRDefault="00C73691">
      <w:pPr>
        <w:numPr>
          <w:ilvl w:val="0"/>
          <w:numId w:val="2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新形势下成都市入境旅游发展研究</w:t>
      </w:r>
    </w:p>
    <w:p w:rsidR="00FB05AC" w:rsidRDefault="00C73691">
      <w:pPr>
        <w:numPr>
          <w:ilvl w:val="0"/>
          <w:numId w:val="2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基于“厕所革命”的成都景区旅游体验策略研究</w:t>
      </w:r>
    </w:p>
    <w:p w:rsidR="00FB05AC" w:rsidRDefault="00C73691">
      <w:pPr>
        <w:numPr>
          <w:ilvl w:val="0"/>
          <w:numId w:val="2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“互联网”</w:t>
      </w:r>
      <w:r>
        <w:rPr>
          <w:rFonts w:ascii="仿宋" w:eastAsia="仿宋" w:hAnsi="仿宋" w:cs="仿宋" w:hint="eastAsia"/>
          <w:sz w:val="32"/>
          <w:szCs w:val="32"/>
        </w:rPr>
        <w:t>+</w:t>
      </w:r>
      <w:r>
        <w:rPr>
          <w:rFonts w:ascii="仿宋" w:eastAsia="仿宋" w:hAnsi="仿宋" w:cs="仿宋" w:hint="eastAsia"/>
          <w:sz w:val="32"/>
          <w:szCs w:val="32"/>
        </w:rPr>
        <w:t>精准扶贫视野下成都市“农村电商</w:t>
      </w:r>
      <w:r>
        <w:rPr>
          <w:rFonts w:ascii="仿宋" w:eastAsia="仿宋" w:hAnsi="仿宋" w:cs="仿宋" w:hint="eastAsia"/>
          <w:sz w:val="32"/>
          <w:szCs w:val="32"/>
        </w:rPr>
        <w:t>+</w:t>
      </w:r>
      <w:r>
        <w:rPr>
          <w:rFonts w:ascii="仿宋" w:eastAsia="仿宋" w:hAnsi="仿宋" w:cs="仿宋" w:hint="eastAsia"/>
          <w:sz w:val="32"/>
          <w:szCs w:val="32"/>
        </w:rPr>
        <w:t>供销社”体系创新模式研究</w:t>
      </w:r>
    </w:p>
    <w:p w:rsidR="00FB05AC" w:rsidRDefault="00C73691">
      <w:pPr>
        <w:numPr>
          <w:ilvl w:val="0"/>
          <w:numId w:val="2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全球视野下成都流量经济层次策略研究</w:t>
      </w:r>
    </w:p>
    <w:p w:rsidR="00FB05AC" w:rsidRDefault="00C73691">
      <w:pPr>
        <w:numPr>
          <w:ilvl w:val="0"/>
          <w:numId w:val="2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提高流量经济层次推动成都高质量发展对策研究</w:t>
      </w:r>
    </w:p>
    <w:p w:rsidR="00FB05AC" w:rsidRDefault="00C73691">
      <w:pPr>
        <w:numPr>
          <w:ilvl w:val="0"/>
          <w:numId w:val="2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加快构建成都现代产业体系的财税政策研究</w:t>
      </w:r>
    </w:p>
    <w:p w:rsidR="00FB05AC" w:rsidRDefault="00C73691">
      <w:pPr>
        <w:numPr>
          <w:ilvl w:val="0"/>
          <w:numId w:val="2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成都新经济发展中的安全风险管控</w:t>
      </w:r>
    </w:p>
    <w:p w:rsidR="00FB05AC" w:rsidRDefault="00C73691">
      <w:pPr>
        <w:numPr>
          <w:ilvl w:val="0"/>
          <w:numId w:val="2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成都市实体零售业转型升级研究</w:t>
      </w:r>
    </w:p>
    <w:p w:rsidR="00FB05AC" w:rsidRDefault="00C73691">
      <w:pPr>
        <w:numPr>
          <w:ilvl w:val="0"/>
          <w:numId w:val="2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成都市网络汽车租赁业发展现状及对策研究</w:t>
      </w:r>
    </w:p>
    <w:p w:rsidR="00FB05AC" w:rsidRDefault="00C73691">
      <w:pPr>
        <w:numPr>
          <w:ilvl w:val="0"/>
          <w:numId w:val="2"/>
        </w:numPr>
        <w:tabs>
          <w:tab w:val="left" w:pos="312"/>
        </w:tabs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网络意识形态新情况及基层政府应对策略研究</w:t>
      </w:r>
    </w:p>
    <w:p w:rsidR="00FB05AC" w:rsidRDefault="00C73691">
      <w:pPr>
        <w:numPr>
          <w:ilvl w:val="0"/>
          <w:numId w:val="2"/>
        </w:numPr>
        <w:tabs>
          <w:tab w:val="left" w:pos="312"/>
        </w:tabs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大城市中心城区康养产业生态圈建设的思考</w:t>
      </w:r>
    </w:p>
    <w:p w:rsidR="00FB05AC" w:rsidRDefault="00C73691">
      <w:pPr>
        <w:numPr>
          <w:ilvl w:val="0"/>
          <w:numId w:val="2"/>
        </w:numPr>
        <w:spacing w:line="59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“健康成都”建设的成都实践研究</w:t>
      </w:r>
    </w:p>
    <w:p w:rsidR="00FB05AC" w:rsidRDefault="00C73691">
      <w:pPr>
        <w:numPr>
          <w:ilvl w:val="0"/>
          <w:numId w:val="2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成都共享经济的发展创新研究</w:t>
      </w:r>
    </w:p>
    <w:p w:rsidR="00FB05AC" w:rsidRDefault="00C73691">
      <w:pPr>
        <w:numPr>
          <w:ilvl w:val="0"/>
          <w:numId w:val="2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四川自贸区现代服务业融入“一带一路”发展研究</w:t>
      </w:r>
    </w:p>
    <w:p w:rsidR="00FB05AC" w:rsidRDefault="00C73691">
      <w:pPr>
        <w:numPr>
          <w:ilvl w:val="0"/>
          <w:numId w:val="2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乡村振兴战略下旅游精准扶贫对策研究</w:t>
      </w:r>
    </w:p>
    <w:p w:rsidR="00FB05AC" w:rsidRDefault="00C73691">
      <w:pPr>
        <w:numPr>
          <w:ilvl w:val="0"/>
          <w:numId w:val="2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成都市战略性新兴产业创新生态系统创新发展研究</w:t>
      </w:r>
    </w:p>
    <w:p w:rsidR="00FB05AC" w:rsidRDefault="00C73691">
      <w:pPr>
        <w:numPr>
          <w:ilvl w:val="0"/>
          <w:numId w:val="2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乡村振兴战略背景下成都市农村宅基地“三权分置”改革研究</w:t>
      </w:r>
    </w:p>
    <w:p w:rsidR="00FB05AC" w:rsidRDefault="00C73691">
      <w:pPr>
        <w:numPr>
          <w:ilvl w:val="0"/>
          <w:numId w:val="2"/>
        </w:numPr>
        <w:tabs>
          <w:tab w:val="left" w:pos="312"/>
        </w:tabs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成都地名文化遗产保护名录制度建设研究</w:t>
      </w:r>
    </w:p>
    <w:p w:rsidR="00FB05AC" w:rsidRDefault="00C73691">
      <w:pPr>
        <w:numPr>
          <w:ilvl w:val="0"/>
          <w:numId w:val="2"/>
        </w:numPr>
        <w:tabs>
          <w:tab w:val="left" w:pos="312"/>
        </w:tabs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川西平原农耕文化符号在当代乡村文创产业中的应用研究</w:t>
      </w:r>
    </w:p>
    <w:p w:rsidR="00FB05AC" w:rsidRDefault="00C73691">
      <w:pPr>
        <w:numPr>
          <w:ilvl w:val="0"/>
          <w:numId w:val="2"/>
        </w:numPr>
        <w:tabs>
          <w:tab w:val="left" w:pos="312"/>
        </w:tabs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立足“一带一路”成都对外文</w:t>
      </w:r>
      <w:r>
        <w:rPr>
          <w:rFonts w:ascii="仿宋" w:eastAsia="仿宋" w:hAnsi="仿宋" w:cs="仿宋" w:hint="eastAsia"/>
          <w:sz w:val="32"/>
          <w:szCs w:val="32"/>
        </w:rPr>
        <w:t>化贸易发展研究</w:t>
      </w:r>
    </w:p>
    <w:p w:rsidR="00FB05AC" w:rsidRDefault="00C73691">
      <w:pPr>
        <w:numPr>
          <w:ilvl w:val="0"/>
          <w:numId w:val="2"/>
        </w:numPr>
        <w:tabs>
          <w:tab w:val="left" w:pos="312"/>
        </w:tabs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中国传统文化中的核心价值观研究</w:t>
      </w:r>
    </w:p>
    <w:p w:rsidR="00FB05AC" w:rsidRDefault="00C73691">
      <w:pPr>
        <w:numPr>
          <w:ilvl w:val="0"/>
          <w:numId w:val="2"/>
        </w:numPr>
        <w:tabs>
          <w:tab w:val="left" w:pos="312"/>
        </w:tabs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成都传统漆工艺材料创新和应用研究</w:t>
      </w:r>
    </w:p>
    <w:p w:rsidR="00FB05AC" w:rsidRDefault="00C73691">
      <w:pPr>
        <w:numPr>
          <w:ilvl w:val="0"/>
          <w:numId w:val="2"/>
        </w:numPr>
        <w:tabs>
          <w:tab w:val="left" w:pos="312"/>
        </w:tabs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“互联网</w:t>
      </w:r>
      <w:r>
        <w:rPr>
          <w:rFonts w:ascii="仿宋" w:eastAsia="仿宋" w:hAnsi="仿宋" w:cs="仿宋" w:hint="eastAsia"/>
          <w:sz w:val="32"/>
          <w:szCs w:val="32"/>
        </w:rPr>
        <w:t>+</w:t>
      </w:r>
      <w:r>
        <w:rPr>
          <w:rFonts w:ascii="仿宋" w:eastAsia="仿宋" w:hAnsi="仿宋" w:cs="仿宋" w:hint="eastAsia"/>
          <w:sz w:val="32"/>
          <w:szCs w:val="32"/>
        </w:rPr>
        <w:t>”老成都传统民俗文化对外传播研究</w:t>
      </w:r>
    </w:p>
    <w:p w:rsidR="00FB05AC" w:rsidRDefault="00C73691">
      <w:pPr>
        <w:numPr>
          <w:ilvl w:val="0"/>
          <w:numId w:val="2"/>
        </w:numPr>
        <w:tabs>
          <w:tab w:val="left" w:pos="312"/>
        </w:tabs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基于成都市茶馆文化影像记录的研究</w:t>
      </w:r>
    </w:p>
    <w:p w:rsidR="00FB05AC" w:rsidRDefault="00C73691">
      <w:pPr>
        <w:numPr>
          <w:ilvl w:val="0"/>
          <w:numId w:val="2"/>
        </w:numPr>
        <w:tabs>
          <w:tab w:val="left" w:pos="312"/>
        </w:tabs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“非物质文化遗产”校园传承研究</w:t>
      </w:r>
    </w:p>
    <w:p w:rsidR="00FB05AC" w:rsidRDefault="00C73691">
      <w:pPr>
        <w:numPr>
          <w:ilvl w:val="0"/>
          <w:numId w:val="2"/>
        </w:numPr>
        <w:tabs>
          <w:tab w:val="left" w:pos="312"/>
        </w:tabs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成都平原经济区年鉴</w:t>
      </w:r>
    </w:p>
    <w:p w:rsidR="00FB05AC" w:rsidRDefault="00C73691">
      <w:pPr>
        <w:numPr>
          <w:ilvl w:val="0"/>
          <w:numId w:val="2"/>
        </w:numPr>
        <w:tabs>
          <w:tab w:val="left" w:pos="312"/>
        </w:tabs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成都工匠文化的资源挖掘与传承研究</w:t>
      </w:r>
    </w:p>
    <w:p w:rsidR="00FB05AC" w:rsidRDefault="00C73691">
      <w:pPr>
        <w:numPr>
          <w:ilvl w:val="0"/>
          <w:numId w:val="2"/>
        </w:numPr>
        <w:tabs>
          <w:tab w:val="left" w:pos="312"/>
        </w:tabs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“文化</w:t>
      </w:r>
      <w:r>
        <w:rPr>
          <w:rFonts w:ascii="仿宋" w:eastAsia="仿宋" w:hAnsi="仿宋" w:cs="仿宋" w:hint="eastAsia"/>
          <w:sz w:val="32"/>
          <w:szCs w:val="32"/>
        </w:rPr>
        <w:t>+</w:t>
      </w:r>
      <w:r>
        <w:rPr>
          <w:rFonts w:ascii="仿宋" w:eastAsia="仿宋" w:hAnsi="仿宋" w:cs="仿宋" w:hint="eastAsia"/>
          <w:sz w:val="32"/>
          <w:szCs w:val="32"/>
        </w:rPr>
        <w:t>民宿”产业助力成都乡村振兴</w:t>
      </w:r>
      <w:r>
        <w:rPr>
          <w:rFonts w:ascii="仿宋" w:eastAsia="仿宋" w:hAnsi="仿宋" w:cs="仿宋"/>
          <w:sz w:val="32"/>
          <w:szCs w:val="32"/>
        </w:rPr>
        <w:t>研究</w:t>
      </w:r>
    </w:p>
    <w:p w:rsidR="00FB05AC" w:rsidRDefault="00C73691">
      <w:pPr>
        <w:numPr>
          <w:ilvl w:val="0"/>
          <w:numId w:val="2"/>
        </w:numPr>
        <w:tabs>
          <w:tab w:val="left" w:pos="312"/>
        </w:tabs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依托双一流高校建设提升城市能级的策略研究</w:t>
      </w:r>
    </w:p>
    <w:p w:rsidR="00FB05AC" w:rsidRDefault="00C73691">
      <w:pPr>
        <w:numPr>
          <w:ilvl w:val="0"/>
          <w:numId w:val="2"/>
        </w:numPr>
        <w:tabs>
          <w:tab w:val="left" w:pos="312"/>
        </w:tabs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成都工业文明精神的源流、内涵和传承</w:t>
      </w:r>
    </w:p>
    <w:p w:rsidR="00FB05AC" w:rsidRDefault="00C73691">
      <w:pPr>
        <w:numPr>
          <w:ilvl w:val="0"/>
          <w:numId w:val="2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新时代成都社会治理重心下移的创新路径研究</w:t>
      </w:r>
    </w:p>
    <w:p w:rsidR="00FB05AC" w:rsidRDefault="00C73691">
      <w:pPr>
        <w:numPr>
          <w:ilvl w:val="0"/>
          <w:numId w:val="2"/>
        </w:numPr>
        <w:spacing w:line="59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成都社区治理与社区营造研究</w:t>
      </w:r>
    </w:p>
    <w:p w:rsidR="00FB05AC" w:rsidRDefault="00C73691">
      <w:pPr>
        <w:numPr>
          <w:ilvl w:val="0"/>
          <w:numId w:val="2"/>
        </w:numPr>
        <w:spacing w:line="59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成都持续实施“三治一增”，提升绿色发展竞争力研究</w:t>
      </w:r>
    </w:p>
    <w:p w:rsidR="00FB05AC" w:rsidRDefault="00C73691">
      <w:pPr>
        <w:numPr>
          <w:ilvl w:val="0"/>
          <w:numId w:val="2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供需视角下成都农村公共文化供给现状评估</w:t>
      </w:r>
    </w:p>
    <w:p w:rsidR="00FB05AC" w:rsidRDefault="00C73691">
      <w:pPr>
        <w:numPr>
          <w:ilvl w:val="0"/>
          <w:numId w:val="2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人民调解组织、人民调解员等级化管理机制及其实践探索</w:t>
      </w:r>
    </w:p>
    <w:p w:rsidR="00FB05AC" w:rsidRDefault="00C73691">
      <w:pPr>
        <w:numPr>
          <w:ilvl w:val="0"/>
          <w:numId w:val="2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新时代劳动关系多元共治模式研究</w:t>
      </w:r>
    </w:p>
    <w:p w:rsidR="00FB05AC" w:rsidRDefault="00C73691">
      <w:pPr>
        <w:numPr>
          <w:ilvl w:val="0"/>
          <w:numId w:val="2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构建普惠型公共法律服务平台研究</w:t>
      </w:r>
    </w:p>
    <w:p w:rsidR="00FB05AC" w:rsidRDefault="00C73691">
      <w:pPr>
        <w:numPr>
          <w:ilvl w:val="0"/>
          <w:numId w:val="2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成都市特色农业保险的开发与探索研究</w:t>
      </w:r>
    </w:p>
    <w:p w:rsidR="00FB05AC" w:rsidRDefault="00C73691">
      <w:pPr>
        <w:numPr>
          <w:ilvl w:val="0"/>
          <w:numId w:val="2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“互联网</w:t>
      </w:r>
      <w:r>
        <w:rPr>
          <w:rFonts w:ascii="仿宋" w:eastAsia="仿宋" w:hAnsi="仿宋" w:cs="仿宋" w:hint="eastAsia"/>
          <w:sz w:val="32"/>
          <w:szCs w:val="32"/>
        </w:rPr>
        <w:t>+</w:t>
      </w:r>
      <w:r>
        <w:rPr>
          <w:rFonts w:ascii="仿宋" w:eastAsia="仿宋" w:hAnsi="仿宋" w:cs="仿宋" w:hint="eastAsia"/>
          <w:sz w:val="32"/>
          <w:szCs w:val="32"/>
        </w:rPr>
        <w:t>”背景下社区治理与社区教育互动机制研究</w:t>
      </w:r>
    </w:p>
    <w:p w:rsidR="00FB05AC" w:rsidRDefault="00C73691">
      <w:pPr>
        <w:numPr>
          <w:ilvl w:val="0"/>
          <w:numId w:val="2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区块链技术对社会组织结构的潜在挑战及影响研究</w:t>
      </w:r>
    </w:p>
    <w:p w:rsidR="00FB05AC" w:rsidRDefault="00C73691">
      <w:pPr>
        <w:numPr>
          <w:ilvl w:val="0"/>
          <w:numId w:val="2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“多元共治”社区治理理念下的家校共育模式探究</w:t>
      </w:r>
    </w:p>
    <w:p w:rsidR="00FB05AC" w:rsidRDefault="00C73691">
      <w:pPr>
        <w:numPr>
          <w:ilvl w:val="0"/>
          <w:numId w:val="2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新时代成都区域特色小镇研究</w:t>
      </w:r>
    </w:p>
    <w:p w:rsidR="00FB05AC" w:rsidRDefault="00C73691">
      <w:pPr>
        <w:numPr>
          <w:ilvl w:val="0"/>
          <w:numId w:val="2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成都主体功能区安全发展研究</w:t>
      </w:r>
    </w:p>
    <w:p w:rsidR="00FB05AC" w:rsidRDefault="00C73691">
      <w:pPr>
        <w:numPr>
          <w:ilvl w:val="0"/>
          <w:numId w:val="2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青少年对社会主义核心价值观认知度研究</w:t>
      </w:r>
    </w:p>
    <w:p w:rsidR="00FB05AC" w:rsidRDefault="00C73691">
      <w:pPr>
        <w:numPr>
          <w:ilvl w:val="0"/>
          <w:numId w:val="2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跨境电商法律风险防控研究——以四川自贸区天府新区片区为视角</w:t>
      </w:r>
    </w:p>
    <w:p w:rsidR="00FB05AC" w:rsidRDefault="00C73691">
      <w:pPr>
        <w:numPr>
          <w:ilvl w:val="0"/>
          <w:numId w:val="2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区块链技术与社会信任心理</w:t>
      </w:r>
      <w:r>
        <w:rPr>
          <w:rFonts w:ascii="仿宋" w:eastAsia="仿宋" w:hAnsi="仿宋" w:cs="仿宋" w:hint="eastAsia"/>
          <w:sz w:val="32"/>
          <w:szCs w:val="32"/>
        </w:rPr>
        <w:t>关系的研究</w:t>
      </w:r>
    </w:p>
    <w:p w:rsidR="00FB05AC" w:rsidRDefault="00C73691">
      <w:pPr>
        <w:numPr>
          <w:ilvl w:val="0"/>
          <w:numId w:val="2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职业教育产教融合研究</w:t>
      </w:r>
    </w:p>
    <w:p w:rsidR="00FB05AC" w:rsidRDefault="00C73691">
      <w:pPr>
        <w:numPr>
          <w:ilvl w:val="0"/>
          <w:numId w:val="2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新技术驱动基础教育改革的研究</w:t>
      </w:r>
    </w:p>
    <w:p w:rsidR="00FB05AC" w:rsidRDefault="00C73691">
      <w:pPr>
        <w:numPr>
          <w:ilvl w:val="0"/>
          <w:numId w:val="2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新时代背景下中小学校长负责制的改革深化与发展研究</w:t>
      </w:r>
    </w:p>
    <w:p w:rsidR="00FB05AC" w:rsidRDefault="00C73691">
      <w:pPr>
        <w:numPr>
          <w:ilvl w:val="0"/>
          <w:numId w:val="2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基于区块链的食药品安全监管系统研究</w:t>
      </w:r>
    </w:p>
    <w:p w:rsidR="00FB05AC" w:rsidRDefault="00C73691">
      <w:pPr>
        <w:numPr>
          <w:ilvl w:val="0"/>
          <w:numId w:val="2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新媒体技术对成都媒介发展的影响研究</w:t>
      </w:r>
    </w:p>
    <w:p w:rsidR="00FB05AC" w:rsidRDefault="00C73691">
      <w:pPr>
        <w:numPr>
          <w:ilvl w:val="0"/>
          <w:numId w:val="2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成都市中心商业区中“智能体验式景观”的探索与实施</w:t>
      </w:r>
    </w:p>
    <w:p w:rsidR="00FB05AC" w:rsidRDefault="00C73691">
      <w:pPr>
        <w:numPr>
          <w:ilvl w:val="0"/>
          <w:numId w:val="2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成都校地协同创新的路径与对策研究</w:t>
      </w:r>
    </w:p>
    <w:p w:rsidR="00FB05AC" w:rsidRDefault="00C73691">
      <w:pPr>
        <w:numPr>
          <w:ilvl w:val="0"/>
          <w:numId w:val="2"/>
        </w:numPr>
        <w:spacing w:line="59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成都加快推进塑造‘三城三都’城市品牌研究</w:t>
      </w:r>
    </w:p>
    <w:p w:rsidR="00FB05AC" w:rsidRDefault="00C73691">
      <w:pPr>
        <w:numPr>
          <w:ilvl w:val="0"/>
          <w:numId w:val="2"/>
        </w:numPr>
        <w:spacing w:line="59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成都加快建设多主体供给、多渠道保障、租购并举的住房保障制度研究</w:t>
      </w:r>
    </w:p>
    <w:p w:rsidR="00FB05AC" w:rsidRDefault="00C73691">
      <w:pPr>
        <w:numPr>
          <w:ilvl w:val="0"/>
          <w:numId w:val="2"/>
        </w:numPr>
        <w:spacing w:line="59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成都放管服改革中的标准、边界与尺度问题研究</w:t>
      </w:r>
    </w:p>
    <w:p w:rsidR="00FB05AC" w:rsidRDefault="00C73691">
      <w:pPr>
        <w:numPr>
          <w:ilvl w:val="0"/>
          <w:numId w:val="2"/>
        </w:numPr>
        <w:spacing w:line="59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完善成都多层次社会保障体系研究</w:t>
      </w:r>
    </w:p>
    <w:p w:rsidR="00FB05AC" w:rsidRDefault="00C73691">
      <w:pPr>
        <w:numPr>
          <w:ilvl w:val="0"/>
          <w:numId w:val="2"/>
        </w:numPr>
        <w:spacing w:line="59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加强政府购买农村公益性服务机制建设研究</w:t>
      </w:r>
    </w:p>
    <w:p w:rsidR="00FB05AC" w:rsidRDefault="00C73691">
      <w:pPr>
        <w:numPr>
          <w:ilvl w:val="0"/>
          <w:numId w:val="2"/>
        </w:numPr>
        <w:spacing w:line="59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成都深化医养结合加快老龄事业和产业发展研究</w:t>
      </w:r>
    </w:p>
    <w:p w:rsidR="00FB05AC" w:rsidRDefault="00C73691">
      <w:pPr>
        <w:numPr>
          <w:ilvl w:val="0"/>
          <w:numId w:val="2"/>
        </w:numPr>
        <w:spacing w:line="59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成都优化政府向社会力量购买公共服务体制机制研究</w:t>
      </w:r>
    </w:p>
    <w:p w:rsidR="00FB05AC" w:rsidRDefault="00C73691">
      <w:pPr>
        <w:numPr>
          <w:ilvl w:val="0"/>
          <w:numId w:val="2"/>
        </w:numPr>
        <w:spacing w:line="59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成都深化事业单位改革强化公益属性研究</w:t>
      </w:r>
    </w:p>
    <w:p w:rsidR="00FB05AC" w:rsidRDefault="00C73691">
      <w:pPr>
        <w:numPr>
          <w:ilvl w:val="0"/>
          <w:numId w:val="2"/>
        </w:numPr>
        <w:spacing w:line="59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成都推进文商旅体融合发展模式研究</w:t>
      </w:r>
    </w:p>
    <w:p w:rsidR="00FB05AC" w:rsidRDefault="00C73691">
      <w:pPr>
        <w:numPr>
          <w:ilvl w:val="0"/>
          <w:numId w:val="2"/>
        </w:numPr>
        <w:spacing w:line="59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成都推进国际传播能力建设研究</w:t>
      </w:r>
    </w:p>
    <w:p w:rsidR="00FB05AC" w:rsidRDefault="00C73691">
      <w:pPr>
        <w:numPr>
          <w:ilvl w:val="0"/>
          <w:numId w:val="2"/>
        </w:numPr>
        <w:spacing w:line="59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贯彻新时代党的建设要求推进全面从严治党研究</w:t>
      </w:r>
    </w:p>
    <w:p w:rsidR="00FB05AC" w:rsidRDefault="00C73691">
      <w:pPr>
        <w:numPr>
          <w:ilvl w:val="0"/>
          <w:numId w:val="2"/>
        </w:numPr>
        <w:spacing w:line="59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成都构建亲清新型政商关系研究</w:t>
      </w:r>
    </w:p>
    <w:p w:rsidR="00FB05AC" w:rsidRDefault="00C73691">
      <w:pPr>
        <w:numPr>
          <w:ilvl w:val="0"/>
          <w:numId w:val="2"/>
        </w:numPr>
        <w:spacing w:line="59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新使命下成都干部激励与约束机制建设研究</w:t>
      </w:r>
    </w:p>
    <w:p w:rsidR="00FB05AC" w:rsidRDefault="00C73691">
      <w:pPr>
        <w:numPr>
          <w:ilvl w:val="0"/>
          <w:numId w:val="2"/>
        </w:numPr>
        <w:spacing w:line="59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成都基层党组织建设研究</w:t>
      </w:r>
    </w:p>
    <w:p w:rsidR="00FB05AC" w:rsidRDefault="00C73691">
      <w:pPr>
        <w:numPr>
          <w:ilvl w:val="0"/>
          <w:numId w:val="2"/>
        </w:numPr>
        <w:spacing w:line="59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成都提升“不忘初心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牢记使命”主题教育活动效能研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究</w:t>
      </w:r>
    </w:p>
    <w:p w:rsidR="00FB05AC" w:rsidRDefault="00C73691">
      <w:pPr>
        <w:numPr>
          <w:ilvl w:val="0"/>
          <w:numId w:val="2"/>
        </w:numPr>
        <w:spacing w:line="59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地方新型智库建设研究</w:t>
      </w:r>
    </w:p>
    <w:p w:rsidR="00FB05AC" w:rsidRDefault="00C73691">
      <w:pPr>
        <w:numPr>
          <w:ilvl w:val="0"/>
          <w:numId w:val="2"/>
        </w:numPr>
        <w:spacing w:line="59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成都加快构建中国特色哲学社会科学研究</w:t>
      </w:r>
    </w:p>
    <w:p w:rsidR="00FB05AC" w:rsidRDefault="00FB05AC">
      <w:pPr>
        <w:spacing w:line="700" w:lineRule="exact"/>
        <w:jc w:val="left"/>
        <w:rPr>
          <w:rFonts w:ascii="黑体" w:eastAsia="黑体" w:hAnsi="黑体" w:cs="黑体"/>
          <w:sz w:val="36"/>
          <w:szCs w:val="36"/>
        </w:rPr>
      </w:pPr>
    </w:p>
    <w:p w:rsidR="00FB05AC" w:rsidRDefault="00C73691">
      <w:pPr>
        <w:spacing w:line="700" w:lineRule="exact"/>
        <w:jc w:val="left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三</w:t>
      </w:r>
      <w:r>
        <w:rPr>
          <w:rFonts w:ascii="黑体" w:eastAsia="黑体" w:hAnsi="黑体" w:cs="黑体"/>
          <w:sz w:val="36"/>
          <w:szCs w:val="36"/>
        </w:rPr>
        <w:t>、</w:t>
      </w:r>
      <w:r>
        <w:rPr>
          <w:rFonts w:ascii="黑体" w:eastAsia="黑体" w:hAnsi="黑体" w:cs="黑体" w:hint="eastAsia"/>
          <w:sz w:val="36"/>
          <w:szCs w:val="36"/>
        </w:rPr>
        <w:t>联合</w:t>
      </w:r>
      <w:r>
        <w:rPr>
          <w:rFonts w:ascii="黑体" w:eastAsia="黑体" w:hAnsi="黑体" w:cs="黑体"/>
          <w:sz w:val="36"/>
          <w:szCs w:val="36"/>
        </w:rPr>
        <w:t>发布项目指南</w:t>
      </w:r>
    </w:p>
    <w:p w:rsidR="00FB05AC" w:rsidRDefault="00C73691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天府文化历史内涵、源流研究</w:t>
      </w:r>
    </w:p>
    <w:p w:rsidR="00FB05AC" w:rsidRDefault="00C73691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发展天府文化与构建社会主义核心价值体系关系研究</w:t>
      </w:r>
    </w:p>
    <w:p w:rsidR="00FB05AC" w:rsidRDefault="00C73691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儒、释、道与天府文化建构研究</w:t>
      </w:r>
    </w:p>
    <w:p w:rsidR="00FB05AC" w:rsidRDefault="00C73691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天府文化名人、名作、重要事件研究</w:t>
      </w:r>
    </w:p>
    <w:p w:rsidR="00FB05AC" w:rsidRDefault="00C73691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天府成都民间技艺、艺术、遗产的挖掘、整理与研究</w:t>
      </w:r>
    </w:p>
    <w:p w:rsidR="00FB05AC" w:rsidRDefault="00C73691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天府文化资源保护与开发利用研究</w:t>
      </w:r>
    </w:p>
    <w:p w:rsidR="00FB05AC" w:rsidRDefault="00C73691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基于网络新媒体的天府文化传播研究</w:t>
      </w:r>
    </w:p>
    <w:p w:rsidR="00FB05AC" w:rsidRDefault="00C73691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天府文化与“一带一路”战略关系研究</w:t>
      </w:r>
    </w:p>
    <w:p w:rsidR="00FB05AC" w:rsidRDefault="00C73691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发展天府文化与打造国家中心城市（世界文化名城）关系研究</w:t>
      </w:r>
    </w:p>
    <w:p w:rsidR="00FB05AC" w:rsidRDefault="00C73691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/>
          <w:sz w:val="32"/>
          <w:szCs w:val="32"/>
        </w:rPr>
        <w:t>0.</w:t>
      </w:r>
      <w:r>
        <w:rPr>
          <w:rFonts w:ascii="仿宋" w:eastAsia="仿宋" w:hAnsi="仿宋" w:cs="仿宋" w:hint="eastAsia"/>
          <w:sz w:val="32"/>
          <w:szCs w:val="32"/>
        </w:rPr>
        <w:t>天府文化创意产品开发</w:t>
      </w:r>
    </w:p>
    <w:p w:rsidR="00FB05AC" w:rsidRDefault="00FB05AC">
      <w:pPr>
        <w:rPr>
          <w:rFonts w:ascii="仿宋" w:eastAsia="仿宋" w:hAnsi="仿宋" w:cs="仿宋"/>
          <w:sz w:val="32"/>
          <w:szCs w:val="32"/>
        </w:rPr>
      </w:pPr>
    </w:p>
    <w:p w:rsidR="00FB05AC" w:rsidRDefault="00FB05AC">
      <w:pPr>
        <w:rPr>
          <w:rFonts w:ascii="仿宋" w:eastAsia="仿宋" w:hAnsi="仿宋" w:cs="仿宋"/>
          <w:sz w:val="32"/>
          <w:szCs w:val="32"/>
        </w:rPr>
      </w:pPr>
    </w:p>
    <w:p w:rsidR="00FB05AC" w:rsidRDefault="00FB05AC"/>
    <w:sectPr w:rsidR="00FB05AC" w:rsidSect="00FB05AC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691" w:rsidRDefault="00C73691" w:rsidP="00FB05AC">
      <w:r>
        <w:separator/>
      </w:r>
    </w:p>
  </w:endnote>
  <w:endnote w:type="continuationSeparator" w:id="0">
    <w:p w:rsidR="00C73691" w:rsidRDefault="00C73691" w:rsidP="00FB0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5AC" w:rsidRDefault="00FB05AC">
    <w:pPr>
      <w:pStyle w:val="a3"/>
      <w:jc w:val="center"/>
    </w:pPr>
    <w:r>
      <w:fldChar w:fldCharType="begin"/>
    </w:r>
    <w:r w:rsidR="00C73691">
      <w:instrText>PAGE   \* MERGEFORMAT</w:instrText>
    </w:r>
    <w:r>
      <w:fldChar w:fldCharType="separate"/>
    </w:r>
    <w:r w:rsidR="00C23110" w:rsidRPr="00C23110">
      <w:rPr>
        <w:noProof/>
        <w:lang w:val="zh-CN"/>
      </w:rPr>
      <w:t>-</w:t>
    </w:r>
    <w:r w:rsidR="00C23110">
      <w:rPr>
        <w:noProof/>
      </w:rPr>
      <w:t xml:space="preserve"> 2 -</w:t>
    </w:r>
    <w:r>
      <w:fldChar w:fldCharType="end"/>
    </w:r>
  </w:p>
  <w:p w:rsidR="00FB05AC" w:rsidRDefault="00FB05A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691" w:rsidRDefault="00C73691" w:rsidP="00FB05AC">
      <w:r>
        <w:separator/>
      </w:r>
    </w:p>
  </w:footnote>
  <w:footnote w:type="continuationSeparator" w:id="0">
    <w:p w:rsidR="00C73691" w:rsidRDefault="00C73691" w:rsidP="00FB05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5BAA2"/>
    <w:multiLevelType w:val="singleLevel"/>
    <w:tmpl w:val="5A45BAA2"/>
    <w:lvl w:ilvl="0">
      <w:start w:val="1"/>
      <w:numFmt w:val="decimal"/>
      <w:lvlText w:val="%1."/>
      <w:lvlJc w:val="left"/>
      <w:pPr>
        <w:ind w:left="425" w:hanging="425"/>
      </w:pPr>
    </w:lvl>
  </w:abstractNum>
  <w:abstractNum w:abstractNumId="1">
    <w:nsid w:val="5A702890"/>
    <w:multiLevelType w:val="singleLevel"/>
    <w:tmpl w:val="5A70289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0882"/>
    <w:rsid w:val="00190882"/>
    <w:rsid w:val="00434EDA"/>
    <w:rsid w:val="006B0F9D"/>
    <w:rsid w:val="00AB30E0"/>
    <w:rsid w:val="00C23110"/>
    <w:rsid w:val="00C73691"/>
    <w:rsid w:val="00CE0FAA"/>
    <w:rsid w:val="00FB05AC"/>
    <w:rsid w:val="03E12D2B"/>
    <w:rsid w:val="12C26B58"/>
    <w:rsid w:val="151608DA"/>
    <w:rsid w:val="168C7ACB"/>
    <w:rsid w:val="50E7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B05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B0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FB05A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B05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465</Words>
  <Characters>2652</Characters>
  <Application>Microsoft Office Word</Application>
  <DocSecurity>0</DocSecurity>
  <Lines>22</Lines>
  <Paragraphs>6</Paragraphs>
  <ScaleCrop>false</ScaleCrop>
  <Company>Microsoft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zhongshen</dc:creator>
  <cp:lastModifiedBy>Administrator</cp:lastModifiedBy>
  <cp:revision>4</cp:revision>
  <dcterms:created xsi:type="dcterms:W3CDTF">2018-03-13T06:56:00Z</dcterms:created>
  <dcterms:modified xsi:type="dcterms:W3CDTF">2018-03-14T10:58:00Z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