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矩形 0">
      <v:fill on="f" color2="#FFFFFF" focus="0%"/>
    </v:background>
  </w:background>
  <w:body>
    <w:p>
      <w:pPr>
        <w:pStyle w:val="2"/>
        <w:jc w:val="center"/>
        <w:rPr>
          <w:rFonts w:hint="eastAsia"/>
        </w:rPr>
      </w:pPr>
      <w:bookmarkStart w:id="0" w:name="_GoBack"/>
      <w:r>
        <w:rPr>
          <w:rFonts w:hint="eastAsia"/>
        </w:rPr>
        <w:t>西华讲堂：城市计算与大数据</w:t>
      </w:r>
    </w:p>
    <w:bookmarkEnd w:id="0"/>
    <w:p>
      <w:pPr>
        <w:rPr>
          <w:rFonts w:hint="eastAsia"/>
          <w:sz w:val="28"/>
          <w:szCs w:val="36"/>
        </w:rPr>
      </w:pPr>
      <w:r>
        <w:rPr>
          <w:rFonts w:hint="eastAsia"/>
          <w:sz w:val="28"/>
          <w:szCs w:val="36"/>
        </w:rPr>
        <w:t>题  目：城市计算与大数据</w:t>
      </w:r>
    </w:p>
    <w:p>
      <w:pPr>
        <w:rPr>
          <w:rFonts w:hint="eastAsia"/>
          <w:sz w:val="28"/>
          <w:szCs w:val="36"/>
        </w:rPr>
      </w:pPr>
      <w:r>
        <w:rPr>
          <w:rFonts w:hint="eastAsia"/>
          <w:sz w:val="28"/>
          <w:szCs w:val="36"/>
        </w:rPr>
        <w:t>时  间：2014年10月16日下午15:00</w:t>
      </w:r>
    </w:p>
    <w:p>
      <w:pPr>
        <w:rPr>
          <w:rFonts w:hint="eastAsia"/>
          <w:sz w:val="28"/>
          <w:szCs w:val="36"/>
        </w:rPr>
      </w:pPr>
      <w:r>
        <w:rPr>
          <w:rFonts w:hint="eastAsia"/>
          <w:sz w:val="28"/>
          <w:szCs w:val="36"/>
        </w:rPr>
        <w:t>地  点：图书馆报告厅</w:t>
      </w:r>
    </w:p>
    <w:p>
      <w:pPr>
        <w:rPr>
          <w:rFonts w:hint="eastAsia"/>
          <w:sz w:val="28"/>
          <w:szCs w:val="36"/>
        </w:rPr>
      </w:pPr>
      <w:r>
        <w:rPr>
          <w:rFonts w:hint="eastAsia"/>
          <w:sz w:val="28"/>
          <w:szCs w:val="36"/>
        </w:rPr>
        <w:t>主讲人：郑宇</w:t>
      </w:r>
    </w:p>
    <w:p>
      <w:pPr>
        <w:rPr>
          <w:rFonts w:hint="eastAsia"/>
          <w:sz w:val="28"/>
          <w:szCs w:val="36"/>
        </w:rPr>
      </w:pPr>
      <w:r>
        <w:rPr>
          <w:rFonts w:hint="eastAsia"/>
          <w:sz w:val="28"/>
          <w:szCs w:val="36"/>
        </w:rPr>
        <w:t>介  绍：</w:t>
      </w:r>
    </w:p>
    <w:p>
      <w:pPr>
        <w:ind w:firstLine="400" w:firstLineChars="200"/>
        <w:rPr>
          <w:rFonts w:hint="eastAsia"/>
          <w:color w:val="1A1A1A"/>
          <w:sz w:val="20"/>
          <w:szCs w:val="20"/>
        </w:rPr>
      </w:pPr>
      <w:r>
        <w:rPr>
          <w:rFonts w:hint="eastAsia"/>
          <w:color w:val="1A1A1A"/>
          <w:sz w:val="20"/>
          <w:szCs w:val="20"/>
        </w:rPr>
        <w:t>郑宇</w:t>
      </w:r>
      <w:r>
        <w:rPr>
          <w:color w:val="1A1A1A"/>
          <w:sz w:val="20"/>
          <w:szCs w:val="20"/>
        </w:rPr>
        <w:t>(</w:t>
      </w:r>
      <w:r>
        <w:rPr>
          <w:rFonts w:hint="eastAsia"/>
          <w:color w:val="1A1A1A"/>
          <w:sz w:val="20"/>
          <w:szCs w:val="20"/>
        </w:rPr>
        <w:t>博士</w:t>
      </w:r>
      <w:r>
        <w:rPr>
          <w:color w:val="1A1A1A"/>
          <w:sz w:val="20"/>
          <w:szCs w:val="20"/>
        </w:rPr>
        <w:t>)</w:t>
      </w:r>
      <w:r>
        <w:rPr>
          <w:rFonts w:hint="eastAsia"/>
          <w:color w:val="1A1A1A"/>
          <w:sz w:val="20"/>
          <w:szCs w:val="20"/>
        </w:rPr>
        <w:t>，微软亚洲研究院主管研究员、上海交通大学讲座教授（</w:t>
      </w:r>
      <w:r>
        <w:rPr>
          <w:color w:val="1A1A1A"/>
          <w:sz w:val="20"/>
          <w:szCs w:val="20"/>
        </w:rPr>
        <w:t>Chair Professor</w:t>
      </w:r>
      <w:r>
        <w:rPr>
          <w:rFonts w:hint="eastAsia"/>
          <w:color w:val="1A1A1A"/>
          <w:sz w:val="20"/>
          <w:szCs w:val="20"/>
        </w:rPr>
        <w:t>）和西南交通大学客座教授，主要研究方向为城市大数据、时空数据挖掘和普适计算等。他首次提出了</w:t>
      </w:r>
      <w:r>
        <w:rPr>
          <w:color w:val="1A1A1A"/>
          <w:sz w:val="20"/>
          <w:szCs w:val="20"/>
        </w:rPr>
        <w:t>“</w:t>
      </w:r>
      <w:r>
        <w:rPr>
          <w:rStyle w:val="6"/>
          <w:rFonts w:hint="eastAsia"/>
          <w:bCs/>
          <w:color w:val="1A1A1A"/>
          <w:sz w:val="20"/>
          <w:szCs w:val="20"/>
        </w:rPr>
        <w:t>城市计算</w:t>
      </w:r>
      <w:r>
        <w:rPr>
          <w:color w:val="1A1A1A"/>
          <w:sz w:val="20"/>
          <w:szCs w:val="20"/>
        </w:rPr>
        <w:t>”</w:t>
      </w:r>
      <w:r>
        <w:rPr>
          <w:rFonts w:hint="eastAsia"/>
          <w:color w:val="1A1A1A"/>
          <w:sz w:val="20"/>
          <w:szCs w:val="20"/>
        </w:rPr>
        <w:t>的理念，其中以主作者身份在</w:t>
      </w:r>
      <w:r>
        <w:rPr>
          <w:color w:val="1A1A1A"/>
          <w:sz w:val="20"/>
          <w:szCs w:val="20"/>
        </w:rPr>
        <w:t>ACM SIGMOD</w:t>
      </w:r>
      <w:r>
        <w:rPr>
          <w:rFonts w:hint="eastAsia"/>
          <w:color w:val="1A1A1A"/>
          <w:sz w:val="20"/>
          <w:szCs w:val="20"/>
        </w:rPr>
        <w:t>、</w:t>
      </w:r>
      <w:r>
        <w:rPr>
          <w:color w:val="1A1A1A"/>
          <w:sz w:val="20"/>
          <w:szCs w:val="20"/>
        </w:rPr>
        <w:t>VLDB</w:t>
      </w:r>
      <w:r>
        <w:rPr>
          <w:rFonts w:hint="eastAsia"/>
          <w:color w:val="1A1A1A"/>
          <w:sz w:val="20"/>
          <w:szCs w:val="20"/>
        </w:rPr>
        <w:t>、</w:t>
      </w:r>
      <w:r>
        <w:rPr>
          <w:color w:val="1A1A1A"/>
          <w:sz w:val="20"/>
          <w:szCs w:val="20"/>
        </w:rPr>
        <w:t>KDD</w:t>
      </w:r>
      <w:r>
        <w:rPr>
          <w:rFonts w:hint="eastAsia"/>
          <w:color w:val="1A1A1A"/>
          <w:sz w:val="20"/>
          <w:szCs w:val="20"/>
        </w:rPr>
        <w:t>、</w:t>
      </w:r>
      <w:r>
        <w:rPr>
          <w:color w:val="1A1A1A"/>
          <w:sz w:val="20"/>
          <w:szCs w:val="20"/>
        </w:rPr>
        <w:t>TKDE</w:t>
      </w:r>
      <w:r>
        <w:rPr>
          <w:rFonts w:hint="eastAsia"/>
          <w:color w:val="1A1A1A"/>
          <w:sz w:val="20"/>
          <w:szCs w:val="20"/>
        </w:rPr>
        <w:t>等顶级国际会议和刊物上发表相关论文</w:t>
      </w:r>
      <w:r>
        <w:rPr>
          <w:color w:val="1A1A1A"/>
          <w:sz w:val="20"/>
          <w:szCs w:val="20"/>
        </w:rPr>
        <w:t>50</w:t>
      </w:r>
      <w:r>
        <w:rPr>
          <w:rFonts w:hint="eastAsia"/>
          <w:color w:val="1A1A1A"/>
          <w:sz w:val="20"/>
          <w:szCs w:val="20"/>
        </w:rPr>
        <w:t>余篇，并在</w:t>
      </w:r>
      <w:r>
        <w:rPr>
          <w:color w:val="1A1A1A"/>
          <w:sz w:val="20"/>
          <w:szCs w:val="20"/>
        </w:rPr>
        <w:t>ICDE2013</w:t>
      </w:r>
      <w:r>
        <w:rPr>
          <w:rFonts w:hint="eastAsia"/>
          <w:color w:val="1A1A1A"/>
          <w:sz w:val="20"/>
          <w:szCs w:val="20"/>
        </w:rPr>
        <w:t>、</w:t>
      </w:r>
      <w:r>
        <w:rPr>
          <w:color w:val="1A1A1A"/>
          <w:sz w:val="20"/>
          <w:szCs w:val="20"/>
        </w:rPr>
        <w:t>ACM SIGSPATIAL2011</w:t>
      </w:r>
      <w:r>
        <w:rPr>
          <w:rFonts w:hint="eastAsia"/>
          <w:color w:val="1A1A1A"/>
          <w:sz w:val="20"/>
          <w:szCs w:val="20"/>
        </w:rPr>
        <w:t>和</w:t>
      </w:r>
      <w:r>
        <w:rPr>
          <w:color w:val="1A1A1A"/>
          <w:sz w:val="20"/>
          <w:szCs w:val="20"/>
        </w:rPr>
        <w:t>UbiComp2011</w:t>
      </w:r>
      <w:r>
        <w:rPr>
          <w:rFonts w:hint="eastAsia"/>
          <w:color w:val="1A1A1A"/>
          <w:sz w:val="20"/>
          <w:szCs w:val="20"/>
        </w:rPr>
        <w:t>等会议上</w:t>
      </w:r>
      <w:r>
        <w:rPr>
          <w:rStyle w:val="6"/>
          <w:rFonts w:hint="eastAsia"/>
          <w:bCs/>
          <w:color w:val="1A1A1A"/>
          <w:sz w:val="20"/>
          <w:szCs w:val="20"/>
        </w:rPr>
        <w:t>五次获得最佳论文</w:t>
      </w:r>
      <w:r>
        <w:rPr>
          <w:rFonts w:hint="eastAsia"/>
          <w:color w:val="1A1A1A"/>
          <w:sz w:val="20"/>
          <w:szCs w:val="20"/>
        </w:rPr>
        <w:t>奖。由他主编的《</w:t>
      </w:r>
      <w:r>
        <w:rPr>
          <w:color w:val="1A1A1A"/>
          <w:sz w:val="20"/>
          <w:szCs w:val="20"/>
        </w:rPr>
        <w:t>Computing with Spatial Trajectories</w:t>
      </w:r>
      <w:r>
        <w:rPr>
          <w:rFonts w:hint="eastAsia"/>
          <w:color w:val="1A1A1A"/>
          <w:sz w:val="20"/>
          <w:szCs w:val="20"/>
        </w:rPr>
        <w:t>》一书被美国、加拿大、澳大利亚、中国和韩国的高校选用为教材。同时，他也主持开发了</w:t>
      </w:r>
      <w:r>
        <w:rPr>
          <w:color w:val="1A1A1A"/>
          <w:sz w:val="20"/>
          <w:szCs w:val="20"/>
        </w:rPr>
        <w:t>GeoLife</w:t>
      </w:r>
      <w:r>
        <w:rPr>
          <w:rFonts w:hint="eastAsia"/>
          <w:color w:val="1A1A1A"/>
          <w:sz w:val="20"/>
          <w:szCs w:val="20"/>
        </w:rPr>
        <w:t>，</w:t>
      </w:r>
      <w:r>
        <w:rPr>
          <w:color w:val="1A1A1A"/>
          <w:sz w:val="20"/>
          <w:szCs w:val="20"/>
        </w:rPr>
        <w:t>T-Drive</w:t>
      </w:r>
      <w:r>
        <w:rPr>
          <w:rFonts w:hint="eastAsia"/>
          <w:color w:val="1A1A1A"/>
          <w:sz w:val="20"/>
          <w:szCs w:val="20"/>
        </w:rPr>
        <w:t>、</w:t>
      </w:r>
      <w:r>
        <w:rPr>
          <w:color w:val="1A1A1A"/>
          <w:sz w:val="20"/>
          <w:szCs w:val="20"/>
        </w:rPr>
        <w:t>Urban Air</w:t>
      </w:r>
      <w:r>
        <w:rPr>
          <w:rFonts w:hint="eastAsia"/>
          <w:color w:val="1A1A1A"/>
          <w:sz w:val="20"/>
          <w:szCs w:val="20"/>
        </w:rPr>
        <w:t>和</w:t>
      </w:r>
      <w:r>
        <w:rPr>
          <w:color w:val="1A1A1A"/>
          <w:sz w:val="20"/>
          <w:szCs w:val="20"/>
        </w:rPr>
        <w:t>CityNoise</w:t>
      </w:r>
      <w:r>
        <w:rPr>
          <w:rFonts w:hint="eastAsia"/>
          <w:color w:val="1A1A1A"/>
          <w:sz w:val="20"/>
          <w:szCs w:val="20"/>
        </w:rPr>
        <w:t>等城市大数据系统。他的研究成果和实际系统获得</w:t>
      </w:r>
      <w:r>
        <w:rPr>
          <w:color w:val="1A1A1A"/>
          <w:sz w:val="20"/>
          <w:szCs w:val="20"/>
        </w:rPr>
        <w:t>24</w:t>
      </w:r>
      <w:r>
        <w:rPr>
          <w:rFonts w:hint="eastAsia"/>
          <w:color w:val="1A1A1A"/>
          <w:sz w:val="20"/>
          <w:szCs w:val="20"/>
        </w:rPr>
        <w:t>项国际发明专利和三项技术转化奖，并多次被科技评论等国际权威媒体报道。既为城市计算在学术界奠定了理论基础，又为工业界提供了实践案例。他是</w:t>
      </w:r>
      <w:r>
        <w:rPr>
          <w:color w:val="1A1A1A"/>
          <w:sz w:val="20"/>
          <w:szCs w:val="20"/>
        </w:rPr>
        <w:t>IEEE</w:t>
      </w:r>
      <w:r>
        <w:rPr>
          <w:rFonts w:hint="eastAsia"/>
          <w:color w:val="1A1A1A"/>
          <w:sz w:val="20"/>
          <w:szCs w:val="20"/>
        </w:rPr>
        <w:t>旗舰刊物</w:t>
      </w:r>
      <w:r>
        <w:rPr>
          <w:color w:val="1A1A1A"/>
          <w:sz w:val="20"/>
          <w:szCs w:val="20"/>
        </w:rPr>
        <w:t xml:space="preserve"> </w:t>
      </w:r>
      <w:r>
        <w:rPr>
          <w:b/>
          <w:bCs/>
          <w:color w:val="1A1A1A"/>
          <w:sz w:val="20"/>
          <w:szCs w:val="20"/>
        </w:rPr>
        <w:t>IEEE Spectrum</w:t>
      </w:r>
      <w:r>
        <w:rPr>
          <w:rFonts w:hint="eastAsia"/>
          <w:color w:val="1A1A1A"/>
          <w:sz w:val="20"/>
          <w:szCs w:val="20"/>
        </w:rPr>
        <w:t>的编委和</w:t>
      </w:r>
      <w:r>
        <w:rPr>
          <w:color w:val="1A1A1A"/>
          <w:sz w:val="20"/>
          <w:szCs w:val="20"/>
        </w:rPr>
        <w:t>GeoInformatica</w:t>
      </w:r>
      <w:r>
        <w:rPr>
          <w:rFonts w:hint="eastAsia"/>
          <w:color w:val="1A1A1A"/>
          <w:sz w:val="20"/>
          <w:szCs w:val="20"/>
        </w:rPr>
        <w:t>的执行编辑</w:t>
      </w:r>
      <w:r>
        <w:rPr>
          <w:rFonts w:hint="eastAsia"/>
          <w:b/>
          <w:bCs/>
          <w:color w:val="1A1A1A"/>
          <w:sz w:val="20"/>
          <w:szCs w:val="20"/>
        </w:rPr>
        <w:t>，</w:t>
      </w:r>
      <w:r>
        <w:rPr>
          <w:rFonts w:hint="eastAsia"/>
          <w:color w:val="1A1A1A"/>
          <w:sz w:val="20"/>
          <w:szCs w:val="20"/>
        </w:rPr>
        <w:t>担任过数据库顶级会议</w:t>
      </w:r>
      <w:r>
        <w:rPr>
          <w:rStyle w:val="6"/>
          <w:bCs/>
          <w:color w:val="1A1A1A"/>
          <w:sz w:val="20"/>
          <w:szCs w:val="20"/>
        </w:rPr>
        <w:t>ICDE 2014</w:t>
      </w:r>
      <w:r>
        <w:rPr>
          <w:rStyle w:val="6"/>
          <w:rFonts w:hint="eastAsia"/>
          <w:bCs/>
          <w:color w:val="1A1A1A"/>
          <w:sz w:val="20"/>
          <w:szCs w:val="20"/>
        </w:rPr>
        <w:t>程序委员会主席</w:t>
      </w:r>
      <w:r>
        <w:rPr>
          <w:rFonts w:hint="eastAsia"/>
          <w:color w:val="1A1A1A"/>
          <w:sz w:val="20"/>
          <w:szCs w:val="20"/>
        </w:rPr>
        <w:t>、普适计算顶级会议</w:t>
      </w:r>
      <w:r>
        <w:rPr>
          <w:color w:val="1A1A1A"/>
          <w:sz w:val="20"/>
          <w:szCs w:val="20"/>
        </w:rPr>
        <w:t>UbiComp 2011</w:t>
      </w:r>
      <w:r>
        <w:rPr>
          <w:rFonts w:hint="eastAsia"/>
          <w:color w:val="1A1A1A"/>
          <w:sz w:val="20"/>
          <w:szCs w:val="20"/>
        </w:rPr>
        <w:t>本地主席、</w:t>
      </w:r>
      <w:r>
        <w:rPr>
          <w:color w:val="1A1A1A"/>
          <w:sz w:val="20"/>
          <w:szCs w:val="20"/>
        </w:rPr>
        <w:t>UbiComp 2012</w:t>
      </w:r>
      <w:r>
        <w:rPr>
          <w:rFonts w:hint="eastAsia"/>
          <w:color w:val="1A1A1A"/>
          <w:sz w:val="20"/>
          <w:szCs w:val="20"/>
        </w:rPr>
        <w:t>工业界主席和数据挖掘顶级会议</w:t>
      </w:r>
      <w:r>
        <w:rPr>
          <w:color w:val="1A1A1A"/>
          <w:sz w:val="20"/>
          <w:szCs w:val="20"/>
        </w:rPr>
        <w:t>KDD 2012</w:t>
      </w:r>
      <w:r>
        <w:rPr>
          <w:rFonts w:hint="eastAsia"/>
          <w:color w:val="1A1A1A"/>
          <w:sz w:val="20"/>
          <w:szCs w:val="20"/>
        </w:rPr>
        <w:t>分会主席等职位。他受邀在</w:t>
      </w:r>
      <w:r>
        <w:rPr>
          <w:color w:val="1A1A1A"/>
          <w:sz w:val="20"/>
          <w:szCs w:val="20"/>
        </w:rPr>
        <w:t>ISKE’13</w:t>
      </w:r>
      <w:r>
        <w:rPr>
          <w:rFonts w:hint="eastAsia"/>
          <w:color w:val="1A1A1A"/>
          <w:sz w:val="20"/>
          <w:szCs w:val="20"/>
        </w:rPr>
        <w:t>、</w:t>
      </w:r>
      <w:r>
        <w:rPr>
          <w:color w:val="1A1A1A"/>
          <w:sz w:val="20"/>
          <w:szCs w:val="20"/>
        </w:rPr>
        <w:t>IE’14</w:t>
      </w:r>
      <w:r>
        <w:rPr>
          <w:rFonts w:hint="eastAsia"/>
          <w:color w:val="1A1A1A"/>
          <w:sz w:val="20"/>
          <w:szCs w:val="20"/>
        </w:rPr>
        <w:t>和</w:t>
      </w:r>
      <w:r>
        <w:rPr>
          <w:color w:val="1A1A1A"/>
          <w:sz w:val="20"/>
          <w:szCs w:val="20"/>
        </w:rPr>
        <w:t>APEC 2014</w:t>
      </w:r>
      <w:r>
        <w:rPr>
          <w:rFonts w:hint="eastAsia"/>
          <w:color w:val="1A1A1A"/>
          <w:sz w:val="20"/>
          <w:szCs w:val="20"/>
        </w:rPr>
        <w:t>等十多个国际会议和论坛上做大会主题报告（</w:t>
      </w:r>
      <w:r>
        <w:rPr>
          <w:color w:val="1A1A1A"/>
          <w:sz w:val="20"/>
          <w:szCs w:val="20"/>
        </w:rPr>
        <w:t>Keynote Speech</w:t>
      </w:r>
      <w:r>
        <w:rPr>
          <w:rFonts w:hint="eastAsia"/>
          <w:color w:val="1A1A1A"/>
          <w:sz w:val="20"/>
          <w:szCs w:val="20"/>
        </w:rPr>
        <w:t>），并多次在</w:t>
      </w:r>
      <w:r>
        <w:rPr>
          <w:color w:val="1A1A1A"/>
          <w:sz w:val="20"/>
          <w:szCs w:val="20"/>
        </w:rPr>
        <w:t>MIT</w:t>
      </w:r>
      <w:r>
        <w:rPr>
          <w:rFonts w:hint="eastAsia"/>
          <w:color w:val="1A1A1A"/>
          <w:sz w:val="20"/>
          <w:szCs w:val="20"/>
        </w:rPr>
        <w:t>、</w:t>
      </w:r>
      <w:r>
        <w:rPr>
          <w:color w:val="1A1A1A"/>
          <w:sz w:val="20"/>
          <w:szCs w:val="20"/>
        </w:rPr>
        <w:t>CMU</w:t>
      </w:r>
      <w:r>
        <w:rPr>
          <w:rFonts w:hint="eastAsia"/>
          <w:color w:val="1A1A1A"/>
          <w:sz w:val="20"/>
          <w:szCs w:val="20"/>
        </w:rPr>
        <w:t>、康乃尔等顶尖学府讲学。他也是</w:t>
      </w:r>
      <w:r>
        <w:rPr>
          <w:color w:val="1A1A1A"/>
          <w:sz w:val="20"/>
          <w:szCs w:val="20"/>
        </w:rPr>
        <w:t>IEEE</w:t>
      </w:r>
      <w:r>
        <w:rPr>
          <w:rFonts w:hint="eastAsia"/>
          <w:color w:val="1A1A1A"/>
          <w:sz w:val="20"/>
          <w:szCs w:val="20"/>
        </w:rPr>
        <w:t>和</w:t>
      </w:r>
      <w:r>
        <w:rPr>
          <w:color w:val="1A1A1A"/>
          <w:sz w:val="20"/>
          <w:szCs w:val="20"/>
        </w:rPr>
        <w:t>ACM</w:t>
      </w:r>
      <w:r>
        <w:rPr>
          <w:rFonts w:hint="eastAsia"/>
          <w:color w:val="1A1A1A"/>
          <w:sz w:val="20"/>
          <w:szCs w:val="20"/>
        </w:rPr>
        <w:t>的资深会员以及中国计算机学会的杰出演讲者。</w:t>
      </w:r>
      <w:r>
        <w:rPr>
          <w:color w:val="1A1A1A"/>
          <w:sz w:val="20"/>
          <w:szCs w:val="20"/>
        </w:rPr>
        <w:t>2013</w:t>
      </w:r>
      <w:r>
        <w:rPr>
          <w:rFonts w:hint="eastAsia"/>
          <w:color w:val="1A1A1A"/>
          <w:sz w:val="20"/>
          <w:szCs w:val="20"/>
        </w:rPr>
        <w:t>年，他因在城市计算领域的贡献被</w:t>
      </w:r>
      <w:r>
        <w:rPr>
          <w:color w:val="1A1A1A"/>
          <w:sz w:val="20"/>
          <w:szCs w:val="20"/>
        </w:rPr>
        <w:t>MIT</w:t>
      </w:r>
      <w:r>
        <w:rPr>
          <w:rFonts w:hint="eastAsia"/>
          <w:color w:val="1A1A1A"/>
          <w:sz w:val="20"/>
          <w:szCs w:val="20"/>
        </w:rPr>
        <w:t>科技评论评为</w:t>
      </w:r>
      <w:r>
        <w:rPr>
          <w:rFonts w:hint="eastAsia"/>
          <w:b/>
          <w:bCs/>
          <w:color w:val="1A1A1A"/>
          <w:sz w:val="20"/>
          <w:szCs w:val="20"/>
        </w:rPr>
        <w:t>全球杰出青年创新者</w:t>
      </w:r>
      <w:r>
        <w:rPr>
          <w:rFonts w:hint="eastAsia"/>
          <w:color w:val="1A1A1A"/>
          <w:sz w:val="20"/>
          <w:szCs w:val="20"/>
        </w:rPr>
        <w:t>（</w:t>
      </w:r>
      <w:r>
        <w:rPr>
          <w:color w:val="1A1A1A"/>
          <w:sz w:val="20"/>
          <w:szCs w:val="20"/>
        </w:rPr>
        <w:t>MIT TR35</w:t>
      </w:r>
      <w:r>
        <w:rPr>
          <w:rFonts w:hint="eastAsia"/>
          <w:color w:val="1A1A1A"/>
          <w:sz w:val="20"/>
          <w:szCs w:val="20"/>
        </w:rPr>
        <w:t>，该奖项从计算机、通信、生物、医疗和金融等多个领域中一共评选出</w:t>
      </w:r>
      <w:r>
        <w:rPr>
          <w:color w:val="1A1A1A"/>
          <w:sz w:val="20"/>
          <w:szCs w:val="20"/>
        </w:rPr>
        <w:t>35</w:t>
      </w:r>
      <w:r>
        <w:rPr>
          <w:rFonts w:hint="eastAsia"/>
          <w:color w:val="1A1A1A"/>
          <w:sz w:val="20"/>
          <w:szCs w:val="20"/>
        </w:rPr>
        <w:t>位</w:t>
      </w:r>
      <w:r>
        <w:rPr>
          <w:color w:val="1A1A1A"/>
          <w:sz w:val="20"/>
          <w:szCs w:val="20"/>
        </w:rPr>
        <w:t>35</w:t>
      </w:r>
      <w:r>
        <w:rPr>
          <w:rFonts w:hint="eastAsia"/>
          <w:color w:val="1A1A1A"/>
          <w:sz w:val="20"/>
          <w:szCs w:val="20"/>
        </w:rPr>
        <w:t>岁以下的顶尖科学家）。</w:t>
      </w:r>
      <w:r>
        <w:rPr>
          <w:color w:val="1A1A1A"/>
          <w:sz w:val="20"/>
          <w:szCs w:val="20"/>
        </w:rPr>
        <w:t>2013</w:t>
      </w:r>
      <w:r>
        <w:rPr>
          <w:rFonts w:hint="eastAsia"/>
          <w:color w:val="1A1A1A"/>
          <w:sz w:val="20"/>
          <w:szCs w:val="20"/>
        </w:rPr>
        <w:t>年</w:t>
      </w:r>
      <w:r>
        <w:rPr>
          <w:color w:val="1A1A1A"/>
          <w:sz w:val="20"/>
          <w:szCs w:val="20"/>
        </w:rPr>
        <w:t>11</w:t>
      </w:r>
      <w:r>
        <w:rPr>
          <w:rFonts w:hint="eastAsia"/>
          <w:color w:val="1A1A1A"/>
          <w:sz w:val="20"/>
          <w:szCs w:val="20"/>
        </w:rPr>
        <w:t>月，他作为现代创新者代表登上了美国的</w:t>
      </w:r>
      <w:r>
        <w:rPr>
          <w:rFonts w:hint="eastAsia"/>
          <w:b/>
          <w:bCs/>
          <w:color w:val="1A1A1A"/>
          <w:sz w:val="20"/>
          <w:szCs w:val="20"/>
        </w:rPr>
        <w:t>《时代》周刊</w:t>
      </w:r>
      <w:r>
        <w:rPr>
          <w:rFonts w:hint="eastAsia"/>
          <w:color w:val="1A1A1A"/>
          <w:sz w:val="20"/>
          <w:szCs w:val="20"/>
        </w:rPr>
        <w:t>（</w:t>
      </w:r>
      <w:r>
        <w:rPr>
          <w:color w:val="1A1A1A"/>
          <w:sz w:val="20"/>
          <w:szCs w:val="20"/>
        </w:rPr>
        <w:t>Time Magazine</w:t>
      </w:r>
      <w:r>
        <w:rPr>
          <w:rFonts w:hint="eastAsia"/>
          <w:color w:val="1A1A1A"/>
          <w:sz w:val="20"/>
          <w:szCs w:val="20"/>
        </w:rPr>
        <w:t>）。</w:t>
      </w:r>
      <w:r>
        <w:rPr>
          <w:color w:val="1A1A1A"/>
          <w:sz w:val="20"/>
          <w:szCs w:val="20"/>
        </w:rPr>
        <w:t>2014</w:t>
      </w:r>
      <w:r>
        <w:rPr>
          <w:rFonts w:hint="eastAsia"/>
          <w:color w:val="1A1A1A"/>
          <w:sz w:val="20"/>
          <w:szCs w:val="20"/>
        </w:rPr>
        <w:t>年，由于他主导的城市计算具有巨大的商业前景和改变行业格局的潜力，他被</w:t>
      </w:r>
      <w:r>
        <w:rPr>
          <w:rStyle w:val="6"/>
          <w:rFonts w:hint="eastAsia"/>
          <w:bCs/>
          <w:color w:val="1A1A1A"/>
          <w:sz w:val="20"/>
          <w:szCs w:val="20"/>
        </w:rPr>
        <w:t>《财富》</w:t>
      </w:r>
      <w:r>
        <w:rPr>
          <w:rFonts w:hint="eastAsia"/>
          <w:color w:val="1A1A1A"/>
          <w:sz w:val="20"/>
          <w:szCs w:val="20"/>
        </w:rPr>
        <w:t>评选为中国</w:t>
      </w:r>
      <w:r>
        <w:rPr>
          <w:color w:val="1A1A1A"/>
          <w:sz w:val="20"/>
          <w:szCs w:val="20"/>
        </w:rPr>
        <w:t>40</w:t>
      </w:r>
      <w:r>
        <w:rPr>
          <w:rFonts w:hint="eastAsia"/>
          <w:color w:val="1A1A1A"/>
          <w:sz w:val="20"/>
          <w:szCs w:val="20"/>
        </w:rPr>
        <w:t>位</w:t>
      </w:r>
      <w:r>
        <w:rPr>
          <w:color w:val="1A1A1A"/>
          <w:sz w:val="20"/>
          <w:szCs w:val="20"/>
        </w:rPr>
        <w:t>40</w:t>
      </w:r>
      <w:r>
        <w:rPr>
          <w:rFonts w:hint="eastAsia"/>
          <w:color w:val="1A1A1A"/>
          <w:sz w:val="20"/>
          <w:szCs w:val="20"/>
        </w:rPr>
        <w:t>岁以下商界精英。</w:t>
      </w:r>
    </w:p>
    <w:p>
      <w:pPr>
        <w:rPr>
          <w:color w:val="1A1A1A"/>
          <w:sz w:val="20"/>
          <w:szCs w:val="20"/>
        </w:rPr>
      </w:pPr>
      <w:r>
        <w:rPr>
          <w:rFonts w:hint="eastAsia"/>
          <w:color w:val="1A1A1A"/>
          <w:sz w:val="20"/>
          <w:szCs w:val="20"/>
        </w:rPr>
        <w:t>更多信息请参看他的个人主页</w:t>
      </w:r>
    </w:p>
    <w:p>
      <w:pPr>
        <w:rPr>
          <w:rFonts w:hint="eastAsia"/>
        </w:rPr>
      </w:pPr>
      <w:r>
        <w:rPr>
          <w:color w:val="1A1A1A"/>
          <w:sz w:val="20"/>
          <w:szCs w:val="20"/>
        </w:rPr>
        <w:fldChar w:fldCharType="begin"/>
      </w:r>
      <w:r>
        <w:rPr>
          <w:color w:val="1A1A1A"/>
          <w:sz w:val="20"/>
          <w:szCs w:val="20"/>
        </w:rPr>
        <w:instrText xml:space="preserve"> HYPERLINK "http://research.microsoft.com/en-us/people/yuzheng/" </w:instrText>
      </w:r>
      <w:r>
        <w:rPr>
          <w:color w:val="1A1A1A"/>
          <w:sz w:val="20"/>
          <w:szCs w:val="20"/>
        </w:rPr>
        <w:fldChar w:fldCharType="separate"/>
      </w:r>
      <w:r>
        <w:rPr>
          <w:color w:val="0000FF"/>
          <w:sz w:val="20"/>
          <w:szCs w:val="20"/>
        </w:rPr>
        <w:t>http://research.microsoft.com/en-us/people/yuzheng/</w:t>
      </w:r>
      <w:r>
        <w:rPr>
          <w:color w:val="1A1A1A"/>
          <w:sz w:val="20"/>
          <w:szCs w:val="20"/>
        </w:rPr>
        <w:fldChar w:fldCharType="end"/>
      </w:r>
      <w:r>
        <w:rPr>
          <w:color w:val="1A1A1A"/>
          <w:sz w:val="20"/>
          <w:szCs w:val="20"/>
        </w:rPr>
        <w:t>. </w:t>
      </w:r>
    </w:p>
    <w:p>
      <w:pPr>
        <w:rPr>
          <w:rFonts w:hint="eastAsia"/>
          <w:sz w:val="28"/>
          <w:szCs w:val="36"/>
        </w:rPr>
      </w:pPr>
      <w:r>
        <w:rPr>
          <w:rFonts w:hint="eastAsia"/>
          <w:sz w:val="28"/>
          <w:szCs w:val="36"/>
        </w:rPr>
        <w:t>主要内容：</w:t>
      </w:r>
    </w:p>
    <w:p>
      <w:pPr>
        <w:rPr>
          <w:rFonts w:hint="eastAsia"/>
          <w:sz w:val="28"/>
          <w:szCs w:val="36"/>
        </w:rPr>
      </w:pPr>
      <w:r>
        <w:t xml:space="preserve">Urban computing is a process of acquisition, integration, and analysis of big and heterogeneous data generated by a diversity of sources in urban spaces to tackle the major issues that cities face, e.g. air pollution, energy consumption and traffic congestion. Urban computing connects unobtrusive and ubiquitous sensing technologies, advanced data management and analytics models, and novel visualization methods, to create win-win-win solutions that improve urban environment, human life quality, and city operation systems. In this talk, I will present our recent progress in urban computing, introducing the applications and technologies for integrating and deep mining heterogeneous data. Examples include fine-grained air quality inference throughout a city, city-wide estimation of gas consumption and vehicle emissions, and diagnosing urban noises with big data. The research has been published at prestigious conferences, such as KDD and UbiComp, and deployed in the real world. More details can be found on </w:t>
      </w:r>
      <w:r>
        <w:fldChar w:fldCharType="begin"/>
      </w:r>
      <w:r>
        <w:instrText xml:space="preserve"> HYPERLINK "http://research.microsoft.com/en-us/projects/urbancomputing/default.aspx" \t "_blank" </w:instrText>
      </w:r>
      <w:r>
        <w:fldChar w:fldCharType="separate"/>
      </w:r>
      <w:r>
        <w:rPr>
          <w:rStyle w:val="7"/>
        </w:rPr>
        <w:t>http://research.microsoft.com/en-us/projects/urbancomputing/default.aspx</w:t>
      </w:r>
      <w:r>
        <w:rPr>
          <w:rStyle w:val="7"/>
        </w:rPr>
        <w:fldChar w:fldCharType="end"/>
      </w:r>
    </w:p>
    <w:p>
      <w:pPr>
        <w:rPr>
          <w:rFonts w:hint="eastAsia"/>
        </w:rPr>
      </w:pP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paragraph" w:styleId="2">
    <w:name w:val="heading 2"/>
    <w:basedOn w:val="1"/>
    <w:next w:val="1"/>
    <w:link w:val="10"/>
    <w:qFormat/>
    <w:uiPriority w:val="0"/>
    <w:pPr>
      <w:keepNext/>
      <w:keepLines/>
      <w:spacing w:before="260" w:after="260" w:line="413" w:lineRule="auto"/>
      <w:outlineLvl w:val="1"/>
    </w:pPr>
    <w:rPr>
      <w:rFonts w:ascii="Arial" w:hAnsi="Arial" w:eastAsia="黑体"/>
      <w:b/>
      <w:sz w:val="32"/>
    </w:rPr>
  </w:style>
  <w:style w:type="character" w:default="1" w:styleId="5">
    <w:name w:val="Default Paragraph Font"/>
    <w:semiHidden/>
    <w:unhideWhenUsed/>
    <w:uiPriority w:val="1"/>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qFormat/>
    <w:uiPriority w:val="99"/>
    <w:rPr>
      <w:rFonts w:cs="Times New Roman"/>
      <w:b/>
    </w:rPr>
  </w:style>
  <w:style w:type="character" w:styleId="7">
    <w:name w:val="Hyperlink"/>
    <w:semiHidden/>
    <w:uiPriority w:val="99"/>
    <w:rPr>
      <w:rFonts w:cs="Times New Roman"/>
      <w:color w:val="0563C1"/>
      <w:u w:val="single"/>
    </w:rPr>
  </w:style>
  <w:style w:type="character" w:customStyle="1" w:styleId="8">
    <w:name w:val="页眉 Char"/>
    <w:link w:val="4"/>
    <w:uiPriority w:val="99"/>
    <w:rPr>
      <w:sz w:val="18"/>
      <w:szCs w:val="18"/>
    </w:rPr>
  </w:style>
  <w:style w:type="character" w:customStyle="1" w:styleId="9">
    <w:name w:val="页脚 Char"/>
    <w:link w:val="3"/>
    <w:uiPriority w:val="99"/>
    <w:rPr>
      <w:sz w:val="18"/>
      <w:szCs w:val="18"/>
    </w:rPr>
  </w:style>
  <w:style w:type="character" w:customStyle="1" w:styleId="10">
    <w:name w:val="标题 2 Char"/>
    <w:link w:val="2"/>
    <w:uiPriority w:val="0"/>
    <w:rPr>
      <w:rFonts w:ascii="Arial" w:hAnsi="Arial" w:eastAsia="黑体" w:cs="Times New Roman"/>
      <w:b/>
      <w:sz w:val="32"/>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341</Words>
  <Characters>1950</Characters>
  <Lines>16</Lines>
  <Paragraphs>4</Paragraphs>
  <ScaleCrop>false</ScaleCrop>
  <LinksUpToDate>false</LinksUpToDate>
  <CharactersWithSpaces>2287</CharactersWithSpaces>
  <Application>WPS Office 个人版_9.1.0.4764_{F1E327BC-269C-435d-A152-05C5408002CA}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2014-10-14T09:54:00Z</dcterms:created>
  <dc:creator>刘凤丽</dc:creator>
  <cp:lastModifiedBy>Administrator</cp:lastModifiedBy>
  <dcterms:modified xsi:type="dcterms:W3CDTF">2014-10-16T01:14:43Z</dcterms:modified>
  <dc:title>西华讲堂：城市计算与大数据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